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26-222</w:t>
      </w:r>
    </w:p>
    <w:p>
      <w:pPr>
        <w:spacing w:before="0" w:after="0" w:line="480"/>
        <w:ind w:left="120"/>
        <w:jc w:val="left"/>
      </w:pPr>
    </w:p>
    <w:p>
      <w:pPr>
        <w:spacing w:before="0" w:after="0" w:line="480"/>
        <w:ind w:left="120"/>
        <w:jc w:val="center"/>
      </w:pPr>
      <w:r>
        <w:rPr>
          <w:rFonts w:ascii="Times New Roman" w:hAnsi="Times New Roman"/>
          <w:b/>
          <w:i w:val="false"/>
          <w:color w:val="000000"/>
          <w:sz w:val="28"/>
        </w:rPr>
        <w:t>CORRECTIONS DEPARTMENT[201]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 xml:space="preserve">Notice of Intended Action to be published: 201—Chapter 20 </w:t>
      </w:r>
    </w:p>
    <w:p>
      <w:pPr>
        <w:spacing w:before="0" w:after="0" w:line="480"/>
        <w:ind w:left="120"/>
        <w:jc w:val="center"/>
      </w:pPr>
      <w:r>
        <w:rPr>
          <w:rFonts w:ascii="Times New Roman" w:hAnsi="Times New Roman"/>
          <w:b w:val="false"/>
          <w:i w:val="false"/>
          <w:color w:val="000000"/>
          <w:sz w:val="24"/>
        </w:rPr>
        <w:t>“Institutions Administration”</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904.103, 904.108, 904.310A, 904.320, 904.506, and 904.910</w:t>
      </w:r>
    </w:p>
    <w:p>
      <w:pPr>
        <w:spacing w:before="0" w:after="0" w:line="480"/>
        <w:ind w:left="120"/>
        <w:jc w:val="both"/>
      </w:pPr>
      <w:r>
        <w:rPr>
          <w:rFonts w:ascii="Times New Roman" w:hAnsi="Times New Roman"/>
          <w:b w:val="false"/>
          <w:i w:val="false"/>
          <w:color w:val="000000"/>
          <w:sz w:val="24"/>
        </w:rPr>
        <w:t>State or federal law(s) implemented by the rulemaking: Iowa Code chapters 904, 910, and 915 and sections 2C.14 and 80A.2</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6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8, 2026</w:t>
            </w:r>
            <w:r>
              <w:br/>
            </w:r>
            <w:r>
              <w:rPr>
                <w:rFonts w:ascii="Times New Roman" w:hAnsi="Times New Roman"/>
                <w:b w:val="false"/>
                <w:i w:val="false"/>
                <w:color w:val="000000"/>
                <w:sz w:val="14"/>
              </w:rPr>
              <w:t>10:30 to 11:30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Google Meet:</w:t>
            </w:r>
            <w:r>
              <w:br/>
            </w:r>
            <w:hyperlink r:id="rId4">
              <w:r>
                <w:rPr>
                  <w:rStyle w:val="Hyperlink"/>
                  <w:rFonts w:ascii="Times New Roman" w:hAnsi="Times New Roman"/>
                  <w:b w:val="false"/>
                  <w:i w:val="false"/>
                  <w:color w:val="0000ff"/>
                  <w:sz w:val="14"/>
                </w:rPr>
                <w:t>meet.google.com/ikd-tecb-vuh</w:t>
              </w:r>
            </w:hyperlink>
            <w:r>
              <w:br/>
            </w:r>
            <w:r>
              <w:rPr>
                <w:rFonts w:ascii="Times New Roman" w:hAnsi="Times New Roman"/>
                <w:b w:val="false"/>
                <w:i w:val="false"/>
                <w:color w:val="000000"/>
                <w:sz w:val="14"/>
              </w:rPr>
              <w:t>Or dial: 1.317.469.9645</w:t>
            </w:r>
            <w:r>
              <w:br/>
            </w:r>
            <w:r>
              <w:rPr>
                <w:rFonts w:ascii="Times New Roman" w:hAnsi="Times New Roman"/>
                <w:b w:val="false"/>
                <w:i w:val="false"/>
                <w:color w:val="000000"/>
                <w:sz w:val="14"/>
              </w:rPr>
              <w:t>PIN: ‪984 771 251#</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Corrections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Jen Rathje</w:t>
            </w:r>
            <w:r>
              <w:br/>
            </w:r>
            <w:r>
              <w:rPr>
                <w:rFonts w:ascii="Times New Roman" w:hAnsi="Times New Roman"/>
                <w:b w:val="false"/>
                <w:i w:val="false"/>
                <w:color w:val="000000"/>
                <w:sz w:val="14"/>
              </w:rPr>
              <w:t xml:space="preserve">Iowa Department of Corrections </w:t>
            </w:r>
            <w:r>
              <w:br/>
            </w:r>
            <w:r>
              <w:rPr>
                <w:rFonts w:ascii="Times New Roman" w:hAnsi="Times New Roman"/>
                <w:b w:val="false"/>
                <w:i w:val="false"/>
                <w:color w:val="000000"/>
                <w:sz w:val="14"/>
              </w:rPr>
              <w:t>Jessie Parker State Office Building</w:t>
            </w:r>
            <w:r>
              <w:br/>
            </w:r>
            <w:r>
              <w:rPr>
                <w:rFonts w:ascii="Times New Roman" w:hAnsi="Times New Roman"/>
                <w:b w:val="false"/>
                <w:i w:val="false"/>
                <w:color w:val="000000"/>
                <w:sz w:val="14"/>
              </w:rPr>
              <w:t xml:space="preserve">510 East 12th Street </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Phone: 515.802.0898 </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jen.rathje1@iowa.gov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Department proposes to rescind Chapter 20 and adopt a new chapter with revisions. This new chapter consolidates public engagement frameworks while providing necessary public transparency regarding public-facing systems such as facility visitation, correspondence, publications, fiduciary transactions, and victim notification. This proposed rulemaking eliminates language that is overly restrictive or duplicative of State statutes, removes historical placeholders, and removes an obsolete rule regarding outdated federal parameters.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No classes of persons will bear any additional costs from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The general public, Department stakeholders, crime victims, and individuals interacting with incarcerated individuals will benefit from the clarity provided by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known quantitative or financial impact.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is no known qualitative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additional implementation or enforcement costs borne by the Department or any other agency because these updates align administrative rules with current agency practices.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Given the directive under Executive Order 10, inaction is not permissible. The benefit of the proposed rulemaking is a legally compliant chapter that removes obsolete or redundant text at no additional cost.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 less costly or less intrusive methods exist. Rulemaking is the legally required method to maintain an administrative framework that complies with the Iowa Code and the mandates of Executive Order 10.</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Alternative methods were not considered because formal rulemaking is required to bring the chapter into compliance with Executive Order 10 directives.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has no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201—Chapter 20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16"/>
        </w:rPr>
        <w:t>TITLE II</w:t>
      </w:r>
    </w:p>
    <w:p>
      <w:pPr>
        <w:pBdr>
          <w:bottom w:space="3"/>
        </w:pBdr>
        <w:spacing w:before="0" w:after="0" w:line="480"/>
        <w:ind w:left="120"/>
        <w:jc w:val="center"/>
      </w:pPr>
      <w:r>
        <w:rPr>
          <w:rFonts w:ascii="Times New Roman" w:hAnsi="Times New Roman"/>
          <w:b w:val="false"/>
          <w:i/>
          <w:color w:val="000000"/>
          <w:sz w:val="24"/>
        </w:rPr>
        <w:t>INSTITUTIONS</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20</w:t>
      </w:r>
    </w:p>
    <w:p>
      <w:pPr>
        <w:spacing w:before="0" w:after="0" w:line="480"/>
        <w:ind w:left="120"/>
        <w:jc w:val="center"/>
      </w:pPr>
      <w:r>
        <w:rPr>
          <w:rFonts w:ascii="Times New Roman" w:hAnsi="Times New Roman"/>
          <w:b w:val="false"/>
          <w:i w:val="false"/>
          <w:color w:val="000000"/>
          <w:sz w:val="21"/>
        </w:rPr>
        <w:t xml:space="preserve">INSTITUTIONS ADMINISTRATION </w:t>
      </w:r>
    </w:p>
    <w:p>
      <w:pPr>
        <w:spacing w:before="0" w:after="0" w:line="480"/>
        <w:ind w:left="120"/>
        <w:jc w:val="both"/>
      </w:pPr>
      <w:r>
        <w:rPr>
          <w:rFonts w:ascii="Times New Roman" w:hAnsi="Times New Roman"/>
          <w:b/>
          <w:i w:val="false"/>
          <w:color w:val="000000"/>
          <w:sz w:val="24"/>
        </w:rPr>
        <w:t>201—20.1</w:t>
      </w:r>
      <w:r>
        <w:rPr>
          <w:rFonts w:ascii="Times New Roman" w:hAnsi="Times New Roman"/>
          <w:b/>
          <w:i w:val="false"/>
          <w:color w:val="000000"/>
          <w:sz w:val="24"/>
        </w:rPr>
        <w:t xml:space="preserve">(904) </w:t>
      </w:r>
      <w:r>
        <w:rPr>
          <w:rFonts w:ascii="Times New Roman" w:hAnsi="Times New Roman"/>
          <w:b/>
          <w:i w:val="false"/>
          <w:color w:val="000000"/>
          <w:sz w:val="24"/>
        </w:rPr>
        <w:t xml:space="preserve">Application of rules. </w:t>
      </w:r>
      <w:r>
        <w:rPr>
          <w:rFonts w:ascii="Times New Roman" w:hAnsi="Times New Roman"/>
          <w:b w:val="false"/>
          <w:i w:val="false"/>
          <w:color w:val="000000"/>
          <w:sz w:val="24"/>
        </w:rPr>
        <w:t xml:space="preserve">The rules in this chapter apply to all adult correctional institutions outlined in Iowa Code section </w:t>
      </w:r>
      <w:hyperlink r:id="rId6">
        <w:r>
          <w:rPr>
            <w:rStyle w:val="Hyperlink"/>
            <w:rFonts w:ascii="Times New Roman" w:hAnsi="Times New Roman"/>
            <w:b w:val="false"/>
            <w:i w:val="false"/>
            <w:color w:val="000000"/>
            <w:sz w:val="24"/>
          </w:rPr>
          <w:t>904.102</w:t>
        </w:r>
      </w:hyperlink>
      <w:r>
        <w:rPr>
          <w:rFonts w:ascii="Times New Roman" w:hAnsi="Times New Roman"/>
          <w:b w:val="false"/>
          <w:i w:val="false"/>
          <w:color w:val="000000"/>
          <w:sz w:val="24"/>
        </w:rPr>
        <w:t xml:space="preserve"> unless otherwise stated.</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7">
        <w:r>
          <w:rPr>
            <w:rStyle w:val="Hyperlink"/>
            <w:rFonts w:ascii="Times New Roman" w:hAnsi="Times New Roman"/>
            <w:b w:val="false"/>
            <w:i w:val="false"/>
            <w:color w:val="000000"/>
            <w:sz w:val="24"/>
          </w:rPr>
          <w:t>904.102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201—20.2</w:t>
      </w:r>
      <w:r>
        <w:rPr>
          <w:rFonts w:ascii="Times New Roman" w:hAnsi="Times New Roman"/>
          <w:b/>
          <w:i w:val="false"/>
          <w:color w:val="000000"/>
          <w:sz w:val="24"/>
        </w:rPr>
        <w:t xml:space="preserve">(904) </w:t>
      </w:r>
      <w:r>
        <w:rPr>
          <w:rFonts w:ascii="Times New Roman" w:hAnsi="Times New Roman"/>
          <w:b/>
          <w:i w:val="false"/>
          <w:color w:val="000000"/>
          <w:sz w:val="24"/>
        </w:rPr>
        <w:t xml:space="preserve">Title II 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“Commercially published information or material”</w:t>
      </w:r>
      <w:r>
        <w:rPr>
          <w:rFonts w:ascii="Times New Roman" w:hAnsi="Times New Roman"/>
          <w:b w:val="false"/>
          <w:i/>
          <w:color w:val="000000"/>
          <w:sz w:val="24"/>
          <w:u w:val="single"/>
        </w:rPr>
        <w:t> </w:t>
      </w:r>
      <w:r>
        <w:rPr>
          <w:rFonts w:ascii="Times New Roman" w:hAnsi="Times New Roman"/>
          <w:b w:val="false"/>
          <w:i w:val="false"/>
          <w:color w:val="000000"/>
          <w:sz w:val="24"/>
        </w:rPr>
        <w:t>means any book, booklet, pamphlet, magazine, periodical, newsletter, photograph or other pictorial depiction, or similar document, including stationery and greeting cards, published by any individual, organization, company, or corporation, that is distributed or made available through any means or media for commercial purposes. This definition includes any portion extracted, photocopied, or clipped from such items.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“Contraband”</w:t>
      </w:r>
      <w:r>
        <w:rPr>
          <w:rFonts w:ascii="Times New Roman" w:hAnsi="Times New Roman"/>
          <w:b w:val="false"/>
          <w:i/>
          <w:color w:val="000000"/>
          <w:sz w:val="24"/>
          <w:u w:val="single"/>
        </w:rPr>
        <w:t> </w:t>
      </w:r>
      <w:r>
        <w:rPr>
          <w:rFonts w:ascii="Times New Roman" w:hAnsi="Times New Roman"/>
          <w:b w:val="false"/>
          <w:i w:val="false"/>
          <w:color w:val="000000"/>
          <w:sz w:val="24"/>
        </w:rPr>
        <w:t>means weapons; alcohol; drugs; money; obscene materials; or materials advocating disruption of or injury to incarcerated individuals, employees, programs, or physical facilities. Contraband shall also include anything that is illegal to possess under federal or state law; anything that is against institutional regulations; drugs or alcohol or materials that are used in the production or use of drugs or alcohol or weapons, explosives, or potential weapons and explosives; and altered authorized property. “Contraband” also includes possession or use of any prohibited communication device.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color w:val="000000"/>
          <w:sz w:val="24"/>
          <w:u w:val="single"/>
        </w:rPr>
        <w:t> </w:t>
      </w:r>
      <w:r>
        <w:rPr>
          <w:rFonts w:ascii="Times New Roman" w:hAnsi="Times New Roman"/>
          <w:b w:val="false"/>
          <w:i w:val="false"/>
          <w:color w:val="000000"/>
          <w:sz w:val="24"/>
        </w:rPr>
        <w:t>means the Iowa department of corrections.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“Features”</w:t>
      </w:r>
      <w:r>
        <w:rPr>
          <w:rFonts w:ascii="Times New Roman" w:hAnsi="Times New Roman"/>
          <w:b w:val="false"/>
          <w:i/>
          <w:color w:val="000000"/>
          <w:sz w:val="24"/>
          <w:u w:val="single"/>
        </w:rPr>
        <w:t> </w:t>
      </w:r>
      <w:r>
        <w:rPr>
          <w:rFonts w:ascii="Times New Roman" w:hAnsi="Times New Roman"/>
          <w:b w:val="false"/>
          <w:i w:val="false"/>
          <w:color w:val="000000"/>
          <w:sz w:val="24"/>
        </w:rPr>
        <w:t>means that the publication contains depictions of nudity or sexually explicit conduct on a routine or regular basis or promotes itself based upon such depictions in the case of individual one-time issues. Publications containing nudity illustrative of medical, educational, or anthropological content may be excluded from this definition.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“Furlough”</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any temporary release from custody as granted in accordance with Iowa Code section </w:t>
      </w:r>
      <w:hyperlink r:id="rId8">
        <w:r>
          <w:rPr>
            <w:rStyle w:val="Hyperlink"/>
            <w:rFonts w:ascii="Times New Roman" w:hAnsi="Times New Roman"/>
            <w:b w:val="false"/>
            <w:i w:val="false"/>
            <w:color w:val="000000"/>
            <w:sz w:val="24"/>
          </w:rPr>
          <w:t>904.108(2)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“Furlough residence”</w:t>
      </w:r>
      <w:r>
        <w:rPr>
          <w:rFonts w:ascii="Times New Roman" w:hAnsi="Times New Roman"/>
          <w:b w:val="false"/>
          <w:i/>
          <w:color w:val="000000"/>
          <w:sz w:val="24"/>
          <w:u w:val="single"/>
        </w:rPr>
        <w:t> </w:t>
      </w:r>
      <w:r>
        <w:rPr>
          <w:rFonts w:ascii="Times New Roman" w:hAnsi="Times New Roman"/>
          <w:b w:val="false"/>
          <w:i w:val="false"/>
          <w:color w:val="000000"/>
          <w:sz w:val="24"/>
        </w:rPr>
        <w:t>means any private dwelling, apartment, house, mobile home park, hotel, motel or community dwelling place.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“Immediate family”</w:t>
      </w:r>
      <w:r>
        <w:rPr>
          <w:rFonts w:ascii="Times New Roman" w:hAnsi="Times New Roman"/>
          <w:b w:val="false"/>
          <w:i/>
          <w:color w:val="000000"/>
          <w:sz w:val="24"/>
          <w:u w:val="single"/>
        </w:rPr>
        <w:t> </w:t>
      </w:r>
      <w:r>
        <w:rPr>
          <w:rFonts w:ascii="Times New Roman" w:hAnsi="Times New Roman"/>
          <w:b w:val="false"/>
          <w:i w:val="false"/>
          <w:color w:val="000000"/>
          <w:sz w:val="24"/>
        </w:rPr>
        <w:t>means an incarcerated individual’s spouse, mother, father, sister, brother, child, grandparent, established legal guardian or other who acted in place of parents, and step- or half-relation if the step- or half-relation and the incarcerated individual were raised as cohabiting siblings.</w:t>
      </w:r>
    </w:p>
    <w:p>
      <w:pPr>
        <w:spacing w:before="0" w:after="0" w:line="480"/>
        <w:ind w:left="120"/>
        <w:jc w:val="both"/>
      </w:pPr>
      <w:r>
        <w:rPr>
          <w:rFonts w:ascii="Times New Roman" w:hAnsi="Times New Roman"/>
          <w:b w:val="false"/>
          <w:i w:val="false"/>
          <w:color w:val="000000"/>
          <w:sz w:val="24"/>
        </w:rPr>
        <w:t>For the purpose of visitation, all of the above will be included as immediate family provided a positive relationship exists. Immediate family members may be subject to criminal background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 practitioner”</w:t>
      </w:r>
      <w:r>
        <w:rPr>
          <w:rFonts w:ascii="Times New Roman" w:hAnsi="Times New Roman"/>
          <w:b w:val="false"/>
          <w:i/>
          <w:color w:val="000000"/>
          <w:sz w:val="24"/>
          <w:u w:val="single"/>
        </w:rPr>
        <w:t> </w:t>
      </w:r>
      <w:r>
        <w:rPr>
          <w:rFonts w:ascii="Times New Roman" w:hAnsi="Times New Roman"/>
          <w:b w:val="false"/>
          <w:i w:val="false"/>
          <w:color w:val="000000"/>
          <w:sz w:val="24"/>
        </w:rPr>
        <w:t>means medical doctor, osteopathic physician or physician associate employed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“Nudity”</w:t>
      </w:r>
      <w:r>
        <w:rPr>
          <w:rFonts w:ascii="Times New Roman" w:hAnsi="Times New Roman"/>
          <w:b w:val="false"/>
          <w:i/>
          <w:color w:val="000000"/>
          <w:sz w:val="24"/>
          <w:u w:val="single"/>
        </w:rPr>
        <w:t> </w:t>
      </w:r>
      <w:r>
        <w:rPr>
          <w:rFonts w:ascii="Times New Roman" w:hAnsi="Times New Roman"/>
          <w:b w:val="false"/>
          <w:i w:val="false"/>
          <w:color w:val="000000"/>
          <w:sz w:val="24"/>
        </w:rPr>
        <w:t>means a pictorial depiction where genitalia or female breasts are exposed. When the pictorial depiction of the female breast displays the areola or nipple, this material will be rejected.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“Obscene material”</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that described in subrule </w:t>
      </w:r>
      <w:hyperlink r:id="rId9">
        <w:r>
          <w:rPr>
            <w:rStyle w:val="Hyperlink"/>
            <w:rFonts w:ascii="Times New Roman" w:hAnsi="Times New Roman"/>
            <w:b w:val="false"/>
            <w:i w:val="false"/>
            <w:color w:val="000000"/>
            <w:sz w:val="24"/>
          </w:rPr>
          <w:t>20.6(5)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“Plan of payment”</w:t>
      </w:r>
      <w:r>
        <w:rPr>
          <w:rFonts w:ascii="Times New Roman" w:hAnsi="Times New Roman"/>
          <w:b w:val="false"/>
          <w:i/>
          <w:color w:val="000000"/>
          <w:sz w:val="24"/>
          <w:u w:val="single"/>
        </w:rPr>
        <w:t> </w:t>
      </w:r>
      <w:r>
        <w:rPr>
          <w:rFonts w:ascii="Times New Roman" w:hAnsi="Times New Roman"/>
          <w:b w:val="false"/>
          <w:i w:val="false"/>
          <w:color w:val="000000"/>
          <w:sz w:val="24"/>
        </w:rPr>
        <w:t>means the method by which the incarcerated individual is to make restitution. The plan may include legal financial obligations. The plan is to reflect the incarcerated individual’s present circumstances, such as income, physical and mental health, education, employment and family circumstances.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“Plan of restitution”</w:t>
      </w:r>
      <w:r>
        <w:rPr>
          <w:rFonts w:ascii="Times New Roman" w:hAnsi="Times New Roman"/>
          <w:b w:val="false"/>
          <w:i/>
          <w:color w:val="000000"/>
          <w:sz w:val="24"/>
          <w:u w:val="single"/>
        </w:rPr>
        <w:t> </w:t>
      </w:r>
      <w:r>
        <w:rPr>
          <w:rFonts w:ascii="Times New Roman" w:hAnsi="Times New Roman"/>
          <w:b w:val="false"/>
          <w:i w:val="false"/>
          <w:color w:val="000000"/>
          <w:sz w:val="24"/>
        </w:rPr>
        <w:t>means a plan stating the amount of restitution as set by the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“Publication”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book, booklet, pamphlet, or similar document, or a single issue of a magazine, periodical, newsletter, newspaper, plus such other materials addressed to a specific incarcerated individual, such as catalogs.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“Sexually explicit”</w:t>
      </w:r>
      <w:r>
        <w:rPr>
          <w:rFonts w:ascii="Times New Roman" w:hAnsi="Times New Roman"/>
          <w:b w:val="false"/>
          <w:i/>
          <w:color w:val="000000"/>
          <w:sz w:val="24"/>
          <w:u w:val="single"/>
        </w:rPr>
        <w:t> </w:t>
      </w:r>
      <w:r>
        <w:rPr>
          <w:rFonts w:ascii="Times New Roman" w:hAnsi="Times New Roman"/>
          <w:b w:val="false"/>
          <w:i w:val="false"/>
          <w:color w:val="000000"/>
          <w:sz w:val="24"/>
        </w:rPr>
        <w:t>means a pictorial depiction of actual or simulated sexual acts including sexual intercourse, oral sex, or masturbation. Sexually explicit material does not include material of a news or information type. Publications concerning research or opinions on sexual, health, or reproductive issues should be admitted unless the publications are otherwise a threat to legitimate institutional interests.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0">
        <w:r>
          <w:rPr>
            <w:rStyle w:val="Hyperlink"/>
            <w:rFonts w:ascii="Times New Roman" w:hAnsi="Times New Roman"/>
            <w:b w:val="false"/>
            <w:i w:val="false"/>
            <w:color w:val="000000"/>
            <w:sz w:val="24"/>
          </w:rPr>
          <w:t>904.108(1)</w:t>
        </w:r>
      </w:hyperlink>
      <w:r>
        <w:rPr>
          <w:rFonts w:ascii="Times New Roman" w:hAnsi="Times New Roman"/>
          <w:b w:val="false"/>
          <w:i/>
          <w:color w:val="000000"/>
          <w:sz w:val="24"/>
        </w:rPr>
        <w:t>“k.”</w:t>
      </w:r>
    </w:p>
    <w:p>
      <w:pPr>
        <w:spacing w:before="0" w:after="0" w:line="480"/>
        <w:ind w:left="120"/>
        <w:jc w:val="both"/>
      </w:pPr>
      <w:r>
        <w:rPr>
          <w:rFonts w:ascii="Times New Roman" w:hAnsi="Times New Roman"/>
          <w:b/>
          <w:i w:val="false"/>
          <w:color w:val="000000"/>
          <w:sz w:val="24"/>
        </w:rPr>
        <w:t>201—20.3</w:t>
      </w:r>
      <w:r>
        <w:rPr>
          <w:rFonts w:ascii="Times New Roman" w:hAnsi="Times New Roman"/>
          <w:b/>
          <w:i w:val="false"/>
          <w:color w:val="000000"/>
          <w:sz w:val="24"/>
        </w:rPr>
        <w:t xml:space="preserve">(904) </w:t>
      </w:r>
      <w:r>
        <w:rPr>
          <w:rFonts w:ascii="Times New Roman" w:hAnsi="Times New Roman"/>
          <w:b/>
          <w:i w:val="false"/>
          <w:color w:val="000000"/>
          <w:sz w:val="24"/>
        </w:rPr>
        <w:t xml:space="preserve">Visits to incarcerated individuals. </w:t>
      </w:r>
      <w:r>
        <w:rPr>
          <w:rFonts w:ascii="Times New Roman" w:hAnsi="Times New Roman"/>
          <w:b w:val="false"/>
          <w:i w:val="false"/>
          <w:color w:val="000000"/>
          <w:sz w:val="24"/>
        </w:rPr>
        <w:t>Visiting is a privilege that allows incarcerated individuals to maintain and strengthen relationships with family members and friends. Though visits are encouraged, institutions’ space, schedules, personnel constraints, treatment considerations, or other safety and security issues of the institutions and their operations may result in limiting the number and length of visits. Visitation is additionally governed by the provisions of department policy OP-MTV-04.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20.3(1)</w:t>
      </w:r>
      <w:r>
        <w:rPr>
          <w:rFonts w:ascii="Times New Roman" w:hAnsi="Times New Roman"/>
          <w:b w:val="false"/>
          <w:i w:val="false"/>
          <w:color w:val="000000"/>
          <w:sz w:val="24"/>
        </w:rPr>
        <w:t> </w:t>
      </w:r>
      <w:r>
        <w:rPr>
          <w:rFonts w:ascii="Times New Roman" w:hAnsi="Times New Roman"/>
          <w:b w:val="false"/>
          <w:i w:val="false"/>
          <w:color w:val="000000"/>
          <w:sz w:val="24"/>
        </w:rPr>
        <w:t>Incarcerated individuals will be provided information on the structured visiting process during orientation to the institution and are responsible to communicate visiting procedures to potential visitors.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20.3(2)</w:t>
      </w:r>
      <w:r>
        <w:rPr>
          <w:rFonts w:ascii="Times New Roman" w:hAnsi="Times New Roman"/>
          <w:b w:val="false"/>
          <w:i w:val="false"/>
          <w:color w:val="000000"/>
          <w:sz w:val="24"/>
        </w:rPr>
        <w:t> </w:t>
      </w:r>
      <w:r>
        <w:rPr>
          <w:rFonts w:ascii="Times New Roman" w:hAnsi="Times New Roman"/>
          <w:b w:val="false"/>
          <w:i w:val="false"/>
          <w:color w:val="000000"/>
          <w:sz w:val="24"/>
        </w:rPr>
        <w:t xml:space="preserve">The visiting application and information pertaining to the visitation of incarcerated individuals are available on the department’s website at </w:t>
      </w:r>
      <w:hyperlink r:id="rId11">
        <w:r>
          <w:rPr>
            <w:rStyle w:val="Hyperlink"/>
            <w:rFonts w:ascii="Times New Roman" w:hAnsi="Times New Roman"/>
            <w:b w:val="false"/>
            <w:i w:val="false"/>
            <w:color w:val="000000"/>
            <w:sz w:val="24"/>
            <w:u w:val="single"/>
          </w:rPr>
          <w:t>doc.iowa.gov</w:t>
        </w:r>
      </w:hyperlink>
      <w:r>
        <w:rPr>
          <w:rFonts w:ascii="Times New Roman" w:hAnsi="Times New Roman"/>
          <w:b w:val="false"/>
          <w:i w:val="false"/>
          <w:color w:val="000000"/>
          <w:sz w:val="24"/>
        </w:rPr>
        <w:t>. Visitor applications may also be provided to the incarcerated individual at each institution to be mailed by the incarcerated individual to potential visitors.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2">
        <w:r>
          <w:rPr>
            <w:rStyle w:val="Hyperlink"/>
            <w:rFonts w:ascii="Times New Roman" w:hAnsi="Times New Roman"/>
            <w:b w:val="false"/>
            <w:i w:val="false"/>
            <w:color w:val="000000"/>
            <w:sz w:val="24"/>
          </w:rPr>
          <w:t>904.512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201—20.4</w:t>
      </w:r>
      <w:r>
        <w:rPr>
          <w:rFonts w:ascii="Times New Roman" w:hAnsi="Times New Roman"/>
          <w:b/>
          <w:i w:val="false"/>
          <w:color w:val="000000"/>
          <w:sz w:val="24"/>
        </w:rPr>
        <w:t xml:space="preserve">(2C,904) </w:t>
      </w:r>
      <w:r>
        <w:rPr>
          <w:rFonts w:ascii="Times New Roman" w:hAnsi="Times New Roman"/>
          <w:b/>
          <w:i w:val="false"/>
          <w:color w:val="000000"/>
          <w:sz w:val="24"/>
        </w:rPr>
        <w:t xml:space="preserve">Mail. </w:t>
      </w:r>
      <w:r>
        <w:rPr>
          <w:rFonts w:ascii="Times New Roman" w:hAnsi="Times New Roman"/>
          <w:b w:val="false"/>
          <w:i w:val="false"/>
          <w:color w:val="000000"/>
          <w:sz w:val="24"/>
        </w:rPr>
        <w:t>Constructive, unlimited correspondence with family, friends, and community sources will be encouraged and facilitated. Incarcerated individuals have the responsibility in the use of correspondence to be truthful and honest. Institutions have the responsibility to maintain a safe, secure, and orderly procedure for use of the mail by an incarcerated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20.4(1)</w:t>
      </w:r>
      <w:r>
        <w:rPr>
          <w:rFonts w:ascii="Times New Roman" w:hAnsi="Times New Roman"/>
          <w:b w:val="false"/>
          <w:i w:val="false"/>
          <w:color w:val="000000"/>
          <w:sz w:val="24"/>
        </w:rPr>
        <w:t> </w:t>
      </w:r>
      <w:r>
        <w:rPr>
          <w:rFonts w:ascii="Times New Roman" w:hAnsi="Times New Roman"/>
          <w:b w:val="false"/>
          <w:i/>
          <w:color w:val="000000"/>
          <w:sz w:val="24"/>
        </w:rPr>
        <w:t xml:space="preserve">Nonconfidential.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 an effort to maintain proper security measures, mail may be monitored and read on a random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All nonconfidential mail will be inspected for contraband and processed through a central processing facility.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20.4(2)</w:t>
      </w:r>
      <w:r>
        <w:rPr>
          <w:rFonts w:ascii="Times New Roman" w:hAnsi="Times New Roman"/>
          <w:b w:val="false"/>
          <w:i w:val="false"/>
          <w:color w:val="000000"/>
          <w:sz w:val="24"/>
        </w:rPr>
        <w:t> </w:t>
      </w:r>
      <w:r>
        <w:rPr>
          <w:rFonts w:ascii="Times New Roman" w:hAnsi="Times New Roman"/>
          <w:b w:val="false"/>
          <w:i/>
          <w:color w:val="000000"/>
          <w:sz w:val="24"/>
        </w:rPr>
        <w:t xml:space="preserve">Confidential.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Confidential mail will not be read or censored.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Confidential mail will be delivered unopened and then, in the presence of the incarcerated individual, will be opened and inspected for contraband and to ensure that the contents are from the return addressee.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Confidential mail may be read only after a finding of probable cause by a court of competent jurisdiction that a threat to the order and security of the institution or abuse of correspondence exists.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incarcerated individual receiving confidential mail will be directed to photocopy each page using the designated copier under direct supervision of a staff person. Upon completion of copying each page, the incarcerated individual will check to verify that all original documents have been copied appropriately.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incarcerated individual will choose to have the original documents either sent out at the incarcerated individual’s expense or destroyed by shredding in the presence of the incarcerated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Pursuant to Iowa Code chapter </w:t>
      </w:r>
      <w:hyperlink r:id="rId13">
        <w:r>
          <w:rPr>
            <w:rStyle w:val="Hyperlink"/>
            <w:rFonts w:ascii="Times New Roman" w:hAnsi="Times New Roman"/>
            <w:b w:val="false"/>
            <w:i w:val="false"/>
            <w:color w:val="000000"/>
            <w:sz w:val="24"/>
          </w:rPr>
          <w:t>2C</w:t>
        </w:r>
      </w:hyperlink>
      <w:r>
        <w:rPr>
          <w:rFonts w:ascii="Times New Roman" w:hAnsi="Times New Roman"/>
          <w:b w:val="false"/>
          <w:i w:val="false"/>
          <w:color w:val="000000"/>
          <w:sz w:val="24"/>
        </w:rPr>
        <w:t>, mail addressed to and received from the ombudsman office will be delivered unopened.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20.4(3)</w:t>
      </w:r>
      <w:r>
        <w:rPr>
          <w:rFonts w:ascii="Times New Roman" w:hAnsi="Times New Roman"/>
          <w:b w:val="false"/>
          <w:i w:val="false"/>
          <w:color w:val="000000"/>
          <w:sz w:val="24"/>
        </w:rPr>
        <w:t> </w:t>
      </w:r>
      <w:r>
        <w:rPr>
          <w:rFonts w:ascii="Times New Roman" w:hAnsi="Times New Roman"/>
          <w:b w:val="false"/>
          <w:i/>
          <w:color w:val="000000"/>
          <w:sz w:val="24"/>
        </w:rPr>
        <w:t xml:space="preserve">General.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Mail is additionally governed by the provisions of department policy OP-MTV-01.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Information on how to correspond with an incarcerated individual is available on the department’s website at </w:t>
      </w:r>
      <w:hyperlink r:id="rId14">
        <w:r>
          <w:rPr>
            <w:rStyle w:val="Hyperlink"/>
            <w:rFonts w:ascii="Times New Roman" w:hAnsi="Times New Roman"/>
            <w:b w:val="false"/>
            <w:i w:val="false"/>
            <w:color w:val="000000"/>
            <w:sz w:val="24"/>
            <w:u w:val="single"/>
          </w:rPr>
          <w:t>doc.iowa.gov</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Misuse of mails will result in institution discipline and be reported to the United States Postal Inspector or other state or federal agencies for action.</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5">
        <w:r>
          <w:rPr>
            <w:rStyle w:val="Hyperlink"/>
            <w:rFonts w:ascii="Times New Roman" w:hAnsi="Times New Roman"/>
            <w:b w:val="false"/>
            <w:i w:val="false"/>
            <w:color w:val="000000"/>
            <w:sz w:val="24"/>
          </w:rPr>
          <w:t>2C.14</w:t>
        </w:r>
      </w:hyperlink>
      <w:r>
        <w:rPr>
          <w:rFonts w:ascii="Times New Roman" w:hAnsi="Times New Roman"/>
          <w:b w:val="false"/>
          <w:i w:val="false"/>
          <w:color w:val="000000"/>
          <w:sz w:val="24"/>
        </w:rPr>
        <w:t xml:space="preserve"> and </w:t>
      </w:r>
      <w:hyperlink r:id="rId16">
        <w:r>
          <w:rPr>
            <w:rStyle w:val="Hyperlink"/>
            <w:rFonts w:ascii="Times New Roman" w:hAnsi="Times New Roman"/>
            <w:b w:val="false"/>
            <w:i w:val="false"/>
            <w:color w:val="000000"/>
            <w:sz w:val="24"/>
          </w:rPr>
          <w:t>904.108(1)</w:t>
        </w:r>
      </w:hyperlink>
      <w:r>
        <w:rPr>
          <w:rFonts w:ascii="Times New Roman" w:hAnsi="Times New Roman"/>
          <w:b w:val="false"/>
          <w:i/>
          <w:color w:val="000000"/>
          <w:sz w:val="24"/>
        </w:rPr>
        <w:t>“k.”</w:t>
      </w:r>
    </w:p>
    <w:p>
      <w:pPr>
        <w:spacing w:before="0" w:after="0" w:line="480"/>
        <w:ind w:left="120"/>
        <w:jc w:val="both"/>
      </w:pPr>
      <w:r>
        <w:rPr>
          <w:rFonts w:ascii="Times New Roman" w:hAnsi="Times New Roman"/>
          <w:b/>
          <w:i w:val="false"/>
          <w:color w:val="000000"/>
          <w:sz w:val="24"/>
        </w:rPr>
        <w:t>201—20.5</w:t>
      </w:r>
      <w:r>
        <w:rPr>
          <w:rFonts w:ascii="Times New Roman" w:hAnsi="Times New Roman"/>
          <w:b/>
          <w:i w:val="false"/>
          <w:color w:val="000000"/>
          <w:sz w:val="24"/>
        </w:rPr>
        <w:t xml:space="preserve">(904) </w:t>
      </w:r>
      <w:r>
        <w:rPr>
          <w:rFonts w:ascii="Times New Roman" w:hAnsi="Times New Roman"/>
          <w:b/>
          <w:i w:val="false"/>
          <w:color w:val="000000"/>
          <w:sz w:val="24"/>
        </w:rPr>
        <w:t xml:space="preserve">Money orders, cashier’s checks, and electronic funds transfers for incarcerated individuals. </w:t>
      </w:r>
      <w:r>
        <w:rPr>
          <w:rFonts w:ascii="Times New Roman" w:hAnsi="Times New Roman"/>
          <w:b w:val="false"/>
          <w:i w:val="false"/>
          <w:color w:val="000000"/>
          <w:sz w:val="24"/>
        </w:rPr>
        <w:t>A person may deposit funds in an incarcerated individual’s account by money order, cashier’s check, or electronic funds transfer unless the person is the protected party of an active no contact order. Personal checks and cash will not be accepted. Only money orders and cashier’s checks will be accepted for deposit into an incarcerated individual’s account by mail. Money orders and cashier’s checks must be made payable to the Iowa Department of Corrections Offender Fiduciary Account (IDOC OFA); must be sent to Fort Dodge Correctional Facility, 1550 L Street, Suite B, Fort Dodge, Iowa 50501; and must include the incarcerated individual’s name and ID number and the sender’s name and complete address. Funds will also be accepted via electronic funds transfers from authorized vendors. An incarcerated individual’s suspected abuse of requests for money from the public may be cause for limits or restrictions on the amounts of money that can be received and from whom money can be received.</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7">
        <w:r>
          <w:rPr>
            <w:rStyle w:val="Hyperlink"/>
            <w:rFonts w:ascii="Times New Roman" w:hAnsi="Times New Roman"/>
            <w:b w:val="false"/>
            <w:i w:val="false"/>
            <w:color w:val="000000"/>
            <w:sz w:val="24"/>
          </w:rPr>
          <w:t>904.506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201—20.6</w:t>
      </w:r>
      <w:r>
        <w:rPr>
          <w:rFonts w:ascii="Times New Roman" w:hAnsi="Times New Roman"/>
          <w:b/>
          <w:i w:val="false"/>
          <w:color w:val="000000"/>
          <w:sz w:val="24"/>
        </w:rPr>
        <w:t xml:space="preserve">(904) </w:t>
      </w:r>
      <w:r>
        <w:rPr>
          <w:rFonts w:ascii="Times New Roman" w:hAnsi="Times New Roman"/>
          <w:b/>
          <w:i w:val="false"/>
          <w:color w:val="000000"/>
          <w:sz w:val="24"/>
        </w:rPr>
        <w:t xml:space="preserve">Publications.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20.6(1)</w:t>
      </w:r>
      <w:r>
        <w:rPr>
          <w:rFonts w:ascii="Times New Roman" w:hAnsi="Times New Roman"/>
          <w:b w:val="false"/>
          <w:i w:val="false"/>
          <w:color w:val="000000"/>
          <w:sz w:val="24"/>
        </w:rPr>
        <w:t> </w:t>
      </w:r>
      <w:r>
        <w:rPr>
          <w:rFonts w:ascii="Times New Roman" w:hAnsi="Times New Roman"/>
          <w:b w:val="false"/>
          <w:i w:val="false"/>
          <w:color w:val="000000"/>
          <w:sz w:val="24"/>
        </w:rPr>
        <w:t>The institution will allow incarcerated individuals access to publications when doing so is consistent with institutional goals of maintaining internal order, safety, security, and rehabilitation. Publications are additionally governed by the provisions of department policy OP-MTV-02.</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20.6(2)</w:t>
      </w:r>
      <w:r>
        <w:rPr>
          <w:rFonts w:ascii="Times New Roman" w:hAnsi="Times New Roman"/>
          <w:b w:val="false"/>
          <w:i w:val="false"/>
          <w:color w:val="000000"/>
          <w:sz w:val="24"/>
        </w:rPr>
        <w:t> </w:t>
      </w:r>
      <w:r>
        <w:rPr>
          <w:rFonts w:ascii="Times New Roman" w:hAnsi="Times New Roman"/>
          <w:b w:val="false"/>
          <w:i w:val="false"/>
          <w:color w:val="000000"/>
          <w:sz w:val="24"/>
        </w:rPr>
        <w:t>Publications include any periodical, newspaper, book, pamphlet, magazine, newsletter, or similar material published by any individual, organization, company, or corporation and made available for a commercial purpose. Publications may be purchased by a third party or an incarcerated individual and shall be unused and sent directly from an approved publisher or bookstore that does mail order business. Any exceptions must be authorized by the warden. No publication will be denied solely on the basis of its appeal to a particular ethnic, racial, religious, or political group. The quantity of printed materials, as with other personal property, shall be controlled for safety and security reasons.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20.6(3)</w:t>
      </w:r>
      <w:r>
        <w:rPr>
          <w:rFonts w:ascii="Times New Roman" w:hAnsi="Times New Roman"/>
          <w:b w:val="false"/>
          <w:i w:val="false"/>
          <w:color w:val="000000"/>
          <w:sz w:val="24"/>
        </w:rPr>
        <w:t> </w:t>
      </w:r>
      <w:r>
        <w:rPr>
          <w:rFonts w:ascii="Times New Roman" w:hAnsi="Times New Roman"/>
          <w:b w:val="false"/>
          <w:i w:val="false"/>
          <w:color w:val="000000"/>
          <w:sz w:val="24"/>
        </w:rPr>
        <w:t>All publications not on the approved list will be reviewed by a publication review committee for approval or denial.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committee will be appointed by the director of the department or the director’s designee and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person with broad exposure to various publications.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Two representatives of correctional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committee will fairly review all types of publications to be received by incarcerated individuals in accordance with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20.6(4)</w:t>
      </w:r>
      <w:r>
        <w:rPr>
          <w:rFonts w:ascii="Times New Roman" w:hAnsi="Times New Roman"/>
          <w:b w:val="false"/>
          <w:i w:val="false"/>
          <w:color w:val="000000"/>
          <w:sz w:val="24"/>
        </w:rPr>
        <w:t> </w:t>
      </w:r>
      <w:r>
        <w:rPr>
          <w:rFonts w:ascii="Times New Roman" w:hAnsi="Times New Roman"/>
          <w:b w:val="false"/>
          <w:i w:val="false"/>
          <w:color w:val="000000"/>
          <w:sz w:val="24"/>
        </w:rPr>
        <w:t>The following procedures will be used when a publication not on the approved list is reviewed: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committee will approve or deny publications within 30 working days of receipt of the publication.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a publication is denied, the committee will send the incarcerated individual a written notice stating the publication involved, the reason for denial, and the incarcerated individual’s available appeal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incarcerated individual will have ten days from receipt of the notice of denial to notify the designated institution staff to destroy the publication, to specify where to send the publication at the incarcerated individual’s expense, or to notify the institution that the decision is being appealed.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list of approved publications will be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20.6(5)</w:t>
      </w:r>
      <w:r>
        <w:rPr>
          <w:rFonts w:ascii="Times New Roman" w:hAnsi="Times New Roman"/>
          <w:b w:val="false"/>
          <w:i w:val="false"/>
          <w:color w:val="000000"/>
          <w:sz w:val="24"/>
        </w:rPr>
        <w:t> </w:t>
      </w:r>
      <w:r>
        <w:rPr>
          <w:rFonts w:ascii="Times New Roman" w:hAnsi="Times New Roman"/>
          <w:b w:val="false"/>
          <w:i w:val="false"/>
          <w:color w:val="000000"/>
          <w:sz w:val="24"/>
        </w:rPr>
        <w:t>A publication may be denied when the publication presents a danger to the security or order of an institution or is inconsistent with rehabilitation goals. Authorized reasons for denying a publication are that the publication: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Is likely to be disruptive or produce violence.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Contains material that portrays or simulates a minor (any person 17 years of age or younger) engaged in or simulating any act that is sexual in nature.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Contains lewd exhibition of the genitals or material that is sexually explicit or features nudity.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Contains information relating to escapes or formulating escape plans.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Contains information relating to provoking a riot or disturbance.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Contains information relating to obtaining an emotional or behavioral state comparable to those produced by a controlled substance, by using aerosols, glue, or other chemical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Contains materials that illustrate, explain, describe, or teach martial arts, or other manufacture of weapons or explosives, or advocate behavior contrary to duly established institution rules or Iowa statutes. Contains materials that illustrate, explain, describe, or teach ability to frustrate crowd or riot control methods. Contains materials that illustrate, explain, describe, or teach ability to sabotage or disrupt communications networks, including a prison’s internal and external communications and automated information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Contains information concerning criminal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Contains encoded material. This will not automatically include foreign language publications not otherwise prohibited in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May violate postal regulations, such as threats, blackmail, contraband, or similar violations.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Is a catalog or other publication whose purpose is primarily or significantly to sell items or materials that are expressly prohibited inside any of the department institutions. The warden can make exceptions for materials that serve reentry efforts.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8">
        <w:r>
          <w:rPr>
            <w:rStyle w:val="Hyperlink"/>
            <w:rFonts w:ascii="Times New Roman" w:hAnsi="Times New Roman"/>
            <w:b w:val="false"/>
            <w:i w:val="false"/>
            <w:color w:val="000000"/>
            <w:sz w:val="24"/>
          </w:rPr>
          <w:t>904.108(1)</w:t>
        </w:r>
      </w:hyperlink>
      <w:r>
        <w:rPr>
          <w:rFonts w:ascii="Times New Roman" w:hAnsi="Times New Roman"/>
          <w:b w:val="false"/>
          <w:i/>
          <w:color w:val="000000"/>
          <w:sz w:val="24"/>
        </w:rPr>
        <w:t>“k”</w:t>
      </w:r>
      <w:r>
        <w:rPr>
          <w:rFonts w:ascii="Times New Roman" w:hAnsi="Times New Roman"/>
          <w:b w:val="false"/>
          <w:i w:val="false"/>
          <w:color w:val="000000"/>
          <w:sz w:val="24"/>
        </w:rPr>
        <w:t xml:space="preserve"> and </w:t>
      </w:r>
      <w:hyperlink r:id="rId19">
        <w:r>
          <w:rPr>
            <w:rStyle w:val="Hyperlink"/>
            <w:rFonts w:ascii="Times New Roman" w:hAnsi="Times New Roman"/>
            <w:b w:val="false"/>
            <w:i w:val="false"/>
            <w:color w:val="000000"/>
            <w:sz w:val="24"/>
          </w:rPr>
          <w:t>904.310A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201—20.7</w:t>
      </w:r>
      <w:r>
        <w:rPr>
          <w:rFonts w:ascii="Times New Roman" w:hAnsi="Times New Roman"/>
          <w:b/>
          <w:i w:val="false"/>
          <w:color w:val="000000"/>
          <w:sz w:val="24"/>
        </w:rPr>
        <w:t xml:space="preserve">(904) </w:t>
      </w:r>
      <w:r>
        <w:rPr>
          <w:rFonts w:ascii="Times New Roman" w:hAnsi="Times New Roman"/>
          <w:b/>
          <w:i w:val="false"/>
          <w:color w:val="000000"/>
          <w:sz w:val="24"/>
        </w:rPr>
        <w:t xml:space="preserve">Interviews and statements.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20.7(1)</w:t>
      </w:r>
      <w:r>
        <w:rPr>
          <w:rFonts w:ascii="Times New Roman" w:hAnsi="Times New Roman"/>
          <w:b w:val="false"/>
          <w:i w:val="false"/>
          <w:color w:val="000000"/>
          <w:sz w:val="24"/>
        </w:rPr>
        <w:t> </w:t>
      </w:r>
      <w:r>
        <w:rPr>
          <w:rFonts w:ascii="Times New Roman" w:hAnsi="Times New Roman"/>
          <w:b w:val="false"/>
          <w:i w:val="false"/>
          <w:color w:val="000000"/>
          <w:sz w:val="24"/>
        </w:rPr>
        <w:t>When incarcerated individuals are selected to be interviewed and photographed within the institution, either individually or as part of a group, identifiable interviews or pictures will have the written consent of the incarcerated individual involved as well as prior consent of the warden or designee, and the department chief of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20.7(2)</w:t>
      </w:r>
      <w:r>
        <w:rPr>
          <w:rFonts w:ascii="Times New Roman" w:hAnsi="Times New Roman"/>
          <w:b w:val="false"/>
          <w:i w:val="false"/>
          <w:color w:val="000000"/>
          <w:sz w:val="24"/>
        </w:rPr>
        <w:t> </w:t>
      </w:r>
      <w:r>
        <w:rPr>
          <w:rFonts w:ascii="Times New Roman" w:hAnsi="Times New Roman"/>
          <w:b w:val="false"/>
          <w:i w:val="false"/>
          <w:color w:val="000000"/>
          <w:sz w:val="24"/>
        </w:rPr>
        <w:t>The warden is responsible for all communications with mass media after consultation and approval by the department chief of staff.</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0">
        <w:r>
          <w:rPr>
            <w:rStyle w:val="Hyperlink"/>
            <w:rFonts w:ascii="Times New Roman" w:hAnsi="Times New Roman"/>
            <w:b w:val="false"/>
            <w:i w:val="false"/>
            <w:color w:val="000000"/>
            <w:sz w:val="24"/>
          </w:rPr>
          <w:t>904.108(1)</w:t>
        </w:r>
      </w:hyperlink>
      <w:r>
        <w:rPr>
          <w:rFonts w:ascii="Times New Roman" w:hAnsi="Times New Roman"/>
          <w:b w:val="false"/>
          <w:i/>
          <w:color w:val="000000"/>
          <w:sz w:val="24"/>
        </w:rPr>
        <w:t>“k.”</w:t>
      </w:r>
    </w:p>
    <w:p>
      <w:pPr>
        <w:spacing w:before="0" w:after="0" w:line="480"/>
        <w:ind w:left="120"/>
        <w:jc w:val="both"/>
      </w:pPr>
      <w:r>
        <w:rPr>
          <w:rFonts w:ascii="Times New Roman" w:hAnsi="Times New Roman"/>
          <w:b/>
          <w:i w:val="false"/>
          <w:color w:val="000000"/>
          <w:sz w:val="24"/>
        </w:rPr>
        <w:t>201—20.8</w:t>
      </w:r>
      <w:r>
        <w:rPr>
          <w:rFonts w:ascii="Times New Roman" w:hAnsi="Times New Roman"/>
          <w:b/>
          <w:i w:val="false"/>
          <w:color w:val="000000"/>
          <w:sz w:val="24"/>
        </w:rPr>
        <w:t xml:space="preserve">(904) </w:t>
      </w:r>
      <w:r>
        <w:rPr>
          <w:rFonts w:ascii="Times New Roman" w:hAnsi="Times New Roman"/>
          <w:b/>
          <w:i w:val="false"/>
          <w:color w:val="000000"/>
          <w:sz w:val="24"/>
        </w:rPr>
        <w:t xml:space="preserve">Guests of institution. </w:t>
      </w:r>
      <w:r>
        <w:rPr>
          <w:rFonts w:ascii="Times New Roman" w:hAnsi="Times New Roman"/>
          <w:b w:val="false"/>
          <w:i w:val="false"/>
          <w:color w:val="000000"/>
          <w:sz w:val="24"/>
        </w:rPr>
        <w:t>Persons wishing to visit the institution are to give prior notice of their intended visit and receive approval for the visit. The prior notice and approval may be waived by the warden or designee for emergencies.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20.8(1)</w:t>
      </w:r>
      <w:r>
        <w:rPr>
          <w:rFonts w:ascii="Times New Roman" w:hAnsi="Times New Roman"/>
          <w:b w:val="false"/>
          <w:i w:val="false"/>
          <w:color w:val="000000"/>
          <w:sz w:val="24"/>
        </w:rPr>
        <w:t> </w:t>
      </w:r>
      <w:r>
        <w:rPr>
          <w:rFonts w:ascii="Times New Roman" w:hAnsi="Times New Roman"/>
          <w:b w:val="false"/>
          <w:i w:val="false"/>
          <w:color w:val="000000"/>
          <w:sz w:val="24"/>
        </w:rPr>
        <w:t>Any guest must agree to comply with the policy and procedures of the institution when signing in at the control center.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20.8(2)</w:t>
      </w:r>
      <w:r>
        <w:rPr>
          <w:rFonts w:ascii="Times New Roman" w:hAnsi="Times New Roman"/>
          <w:b w:val="false"/>
          <w:i w:val="false"/>
          <w:color w:val="000000"/>
          <w:sz w:val="24"/>
        </w:rPr>
        <w:t> </w:t>
      </w:r>
      <w:r>
        <w:rPr>
          <w:rFonts w:ascii="Times New Roman" w:hAnsi="Times New Roman"/>
          <w:b w:val="false"/>
          <w:i w:val="false"/>
          <w:color w:val="000000"/>
          <w:sz w:val="24"/>
        </w:rPr>
        <w:t>Persons under 18 years of age may only visit with prior approval of the warden or designee and shall be accompanied by a responsible adult. An adult shall be in charge of no more than four children. Persons under 18 years of age shall not be allowed to make institutional tours of maximum security prisons.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20.8(3)</w:t>
      </w:r>
      <w:r>
        <w:rPr>
          <w:rFonts w:ascii="Times New Roman" w:hAnsi="Times New Roman"/>
          <w:b w:val="false"/>
          <w:i w:val="false"/>
          <w:color w:val="000000"/>
          <w:sz w:val="24"/>
        </w:rPr>
        <w:t> </w:t>
      </w:r>
      <w:r>
        <w:rPr>
          <w:rFonts w:ascii="Times New Roman" w:hAnsi="Times New Roman"/>
          <w:b w:val="false"/>
          <w:i w:val="false"/>
          <w:color w:val="000000"/>
          <w:sz w:val="24"/>
        </w:rPr>
        <w:t>Guests will be escorted by a staff member. Any exception will have prior approval of the warden or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20.8(4)</w:t>
      </w:r>
      <w:r>
        <w:rPr>
          <w:rFonts w:ascii="Times New Roman" w:hAnsi="Times New Roman"/>
          <w:b w:val="false"/>
          <w:i w:val="false"/>
          <w:color w:val="000000"/>
          <w:sz w:val="24"/>
        </w:rPr>
        <w:t> </w:t>
      </w:r>
      <w:r>
        <w:rPr>
          <w:rFonts w:ascii="Times New Roman" w:hAnsi="Times New Roman"/>
          <w:b w:val="false"/>
          <w:i w:val="false"/>
          <w:color w:val="000000"/>
          <w:sz w:val="24"/>
        </w:rPr>
        <w:t>Guests will be allowed personal contact with an incarcerated individual only when it serves the best interests of the incarcerated individual as determined by the warden or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20.8(5)</w:t>
      </w:r>
      <w:r>
        <w:rPr>
          <w:rFonts w:ascii="Times New Roman" w:hAnsi="Times New Roman"/>
          <w:b w:val="false"/>
          <w:i w:val="false"/>
          <w:color w:val="000000"/>
          <w:sz w:val="24"/>
        </w:rPr>
        <w:t> </w:t>
      </w:r>
      <w:r>
        <w:rPr>
          <w:rFonts w:ascii="Times New Roman" w:hAnsi="Times New Roman"/>
          <w:b w:val="false"/>
          <w:i w:val="false"/>
          <w:color w:val="000000"/>
          <w:sz w:val="24"/>
        </w:rPr>
        <w:t>All contacts with incarcerated individuals will be absent of any encouragement, support, or suggestion of activity that would bring disorder to the institution.</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1">
        <w:r>
          <w:rPr>
            <w:rStyle w:val="Hyperlink"/>
            <w:rFonts w:ascii="Times New Roman" w:hAnsi="Times New Roman"/>
            <w:b w:val="false"/>
            <w:i w:val="false"/>
            <w:color w:val="000000"/>
            <w:sz w:val="24"/>
          </w:rPr>
          <w:t>904.108(1)</w:t>
        </w:r>
      </w:hyperlink>
      <w:r>
        <w:rPr>
          <w:rFonts w:ascii="Times New Roman" w:hAnsi="Times New Roman"/>
          <w:b w:val="false"/>
          <w:i/>
          <w:color w:val="000000"/>
          <w:sz w:val="24"/>
        </w:rPr>
        <w:t>“k”</w:t>
      </w:r>
      <w:r>
        <w:rPr>
          <w:rFonts w:ascii="Times New Roman" w:hAnsi="Times New Roman"/>
          <w:b w:val="false"/>
          <w:i w:val="false"/>
          <w:color w:val="000000"/>
          <w:sz w:val="24"/>
        </w:rPr>
        <w:t xml:space="preserve"> and </w:t>
      </w:r>
      <w:hyperlink r:id="rId22">
        <w:r>
          <w:rPr>
            <w:rStyle w:val="Hyperlink"/>
            <w:rFonts w:ascii="Times New Roman" w:hAnsi="Times New Roman"/>
            <w:b w:val="false"/>
            <w:i w:val="false"/>
            <w:color w:val="000000"/>
            <w:sz w:val="24"/>
          </w:rPr>
          <w:t>904.512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201—20.9</w:t>
      </w:r>
      <w:r>
        <w:rPr>
          <w:rFonts w:ascii="Times New Roman" w:hAnsi="Times New Roman"/>
          <w:b/>
          <w:i w:val="false"/>
          <w:color w:val="000000"/>
          <w:sz w:val="24"/>
        </w:rPr>
        <w:t xml:space="preserve">(904) </w:t>
      </w:r>
      <w:r>
        <w:rPr>
          <w:rFonts w:ascii="Times New Roman" w:hAnsi="Times New Roman"/>
          <w:b/>
          <w:i w:val="false"/>
          <w:color w:val="000000"/>
          <w:sz w:val="24"/>
        </w:rPr>
        <w:t xml:space="preserve">Donations. </w:t>
      </w:r>
      <w:r>
        <w:rPr>
          <w:rFonts w:ascii="Times New Roman" w:hAnsi="Times New Roman"/>
          <w:b w:val="false"/>
          <w:i w:val="false"/>
          <w:color w:val="000000"/>
          <w:sz w:val="24"/>
        </w:rPr>
        <w:t>Donations of money, books, games, recreation equipment or other such gifts will be made directly to the warden or the warden’s designee. The warden or the warden’s designee will evaluate the donation in terms of the nature of the contribution to the institution program. The warden or the warden’s designee is responsible for accepting the donation and reporting the gift to the deputy director of institutional operations on a monthly basis.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3">
        <w:r>
          <w:rPr>
            <w:rStyle w:val="Hyperlink"/>
            <w:rFonts w:ascii="Times New Roman" w:hAnsi="Times New Roman"/>
            <w:b w:val="false"/>
            <w:i w:val="false"/>
            <w:color w:val="000000"/>
            <w:sz w:val="24"/>
          </w:rPr>
          <w:t>904.113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201—20.10</w:t>
      </w:r>
      <w:r>
        <w:rPr>
          <w:rFonts w:ascii="Times New Roman" w:hAnsi="Times New Roman"/>
          <w:b/>
          <w:i w:val="false"/>
          <w:color w:val="000000"/>
          <w:sz w:val="24"/>
        </w:rPr>
        <w:t xml:space="preserve">(904) </w:t>
      </w:r>
      <w:r>
        <w:rPr>
          <w:rFonts w:ascii="Times New Roman" w:hAnsi="Times New Roman"/>
          <w:b/>
          <w:i w:val="false"/>
          <w:color w:val="000000"/>
          <w:sz w:val="24"/>
        </w:rPr>
        <w:t xml:space="preserve">Incarceration fees. </w:t>
      </w:r>
      <w:r>
        <w:rPr>
          <w:rFonts w:ascii="Times New Roman" w:hAnsi="Times New Roman"/>
          <w:b w:val="false"/>
          <w:i w:val="false"/>
          <w:color w:val="000000"/>
          <w:sz w:val="24"/>
        </w:rPr>
        <w:t xml:space="preserve">The director may charge incarcerated individuals an incarceration fee pursuant to Iowa Code section </w:t>
      </w:r>
      <w:hyperlink r:id="rId24">
        <w:r>
          <w:rPr>
            <w:rStyle w:val="Hyperlink"/>
            <w:rFonts w:ascii="Times New Roman" w:hAnsi="Times New Roman"/>
            <w:b w:val="false"/>
            <w:i w:val="false"/>
            <w:color w:val="000000"/>
            <w:sz w:val="24"/>
          </w:rPr>
          <w:t>904.108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5">
        <w:r>
          <w:rPr>
            <w:rStyle w:val="Hyperlink"/>
            <w:rFonts w:ascii="Times New Roman" w:hAnsi="Times New Roman"/>
            <w:b w:val="false"/>
            <w:i w:val="false"/>
            <w:color w:val="000000"/>
            <w:sz w:val="24"/>
          </w:rPr>
          <w:t>904.108(6)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201—20.11</w:t>
      </w:r>
      <w:r>
        <w:rPr>
          <w:rFonts w:ascii="Times New Roman" w:hAnsi="Times New Roman"/>
          <w:b/>
          <w:i w:val="false"/>
          <w:color w:val="000000"/>
          <w:sz w:val="24"/>
        </w:rPr>
        <w:t xml:space="preserve">(904,910) </w:t>
      </w:r>
      <w:r>
        <w:rPr>
          <w:rFonts w:ascii="Times New Roman" w:hAnsi="Times New Roman"/>
          <w:b/>
          <w:i w:val="false"/>
          <w:color w:val="000000"/>
          <w:sz w:val="24"/>
        </w:rPr>
        <w:t xml:space="preserve">Restitution.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20.11(1)</w:t>
      </w:r>
      <w:r>
        <w:rPr>
          <w:rFonts w:ascii="Times New Roman" w:hAnsi="Times New Roman"/>
          <w:b w:val="false"/>
          <w:i w:val="false"/>
          <w:color w:val="000000"/>
          <w:sz w:val="24"/>
        </w:rPr>
        <w:t> </w:t>
      </w:r>
      <w:r>
        <w:rPr>
          <w:rFonts w:ascii="Times New Roman" w:hAnsi="Times New Roman"/>
          <w:b w:val="false"/>
          <w:i w:val="false"/>
          <w:color w:val="000000"/>
          <w:sz w:val="24"/>
        </w:rPr>
        <w:t>Every incarcerated individual required by a court order to pay restitution will have a restitution plan and a restitution plan of payment developed, unless a court-ordered restitution plan has been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20.11(2)</w:t>
      </w:r>
      <w:r>
        <w:rPr>
          <w:rFonts w:ascii="Times New Roman" w:hAnsi="Times New Roman"/>
          <w:b w:val="false"/>
          <w:i w:val="false"/>
          <w:color w:val="000000"/>
          <w:sz w:val="24"/>
        </w:rPr>
        <w:t> </w:t>
      </w:r>
      <w:r>
        <w:rPr>
          <w:rFonts w:ascii="Times New Roman" w:hAnsi="Times New Roman"/>
          <w:b w:val="false"/>
          <w:i w:val="false"/>
          <w:color w:val="000000"/>
          <w:sz w:val="24"/>
        </w:rPr>
        <w:t>The restitution plan of payment will consider the present circumstances of an incarcerated individual’s physical/mental health and other legal financial obligations.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20.11(3)</w:t>
      </w:r>
      <w:r>
        <w:rPr>
          <w:rFonts w:ascii="Times New Roman" w:hAnsi="Times New Roman"/>
          <w:b w:val="false"/>
          <w:i w:val="false"/>
          <w:color w:val="000000"/>
          <w:sz w:val="24"/>
        </w:rPr>
        <w:t> </w:t>
      </w:r>
      <w:r>
        <w:rPr>
          <w:rFonts w:ascii="Times New Roman" w:hAnsi="Times New Roman"/>
          <w:b w:val="false"/>
          <w:i w:val="false"/>
          <w:color w:val="000000"/>
          <w:sz w:val="24"/>
        </w:rPr>
        <w:t>The deputy director of institutions will ensure that there are written procedures governing the development and modification of each restitution plan and plan of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20.11(4)</w:t>
      </w:r>
      <w:r>
        <w:rPr>
          <w:rFonts w:ascii="Times New Roman" w:hAnsi="Times New Roman"/>
          <w:b w:val="false"/>
          <w:i w:val="false"/>
          <w:color w:val="000000"/>
          <w:sz w:val="24"/>
        </w:rPr>
        <w:t> </w:t>
      </w:r>
      <w:r>
        <w:rPr>
          <w:rFonts w:ascii="Times New Roman" w:hAnsi="Times New Roman"/>
          <w:b w:val="false"/>
          <w:i w:val="false"/>
          <w:color w:val="000000"/>
          <w:sz w:val="24"/>
        </w:rPr>
        <w:t>Each incarcerated individual will be given a Predeprivation Notice: Notice of Intent to Deduct Restitution From All Account Credits and Notice of Opportunity to Respond during initial reception following admission to the Iowa medical and classification center (IMCC) or the Iowa correctional institution for women (ICIW).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20.11(5)</w:t>
      </w:r>
      <w:r>
        <w:rPr>
          <w:rFonts w:ascii="Times New Roman" w:hAnsi="Times New Roman"/>
          <w:b w:val="false"/>
          <w:i w:val="false"/>
          <w:color w:val="000000"/>
          <w:sz w:val="24"/>
        </w:rPr>
        <w:t> </w:t>
      </w:r>
      <w:r>
        <w:rPr>
          <w:rFonts w:ascii="Times New Roman" w:hAnsi="Times New Roman"/>
          <w:b w:val="false"/>
          <w:i w:val="false"/>
          <w:color w:val="000000"/>
          <w:sz w:val="24"/>
        </w:rPr>
        <w:t>Initial complaints by incarcerated individuals regarding restitution plans of payment or modifications may be addressed via the grievance procedure for incarcerated individuals.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20.11(6)</w:t>
      </w:r>
      <w:r>
        <w:rPr>
          <w:rFonts w:ascii="Times New Roman" w:hAnsi="Times New Roman"/>
          <w:b w:val="false"/>
          <w:i w:val="false"/>
          <w:color w:val="000000"/>
          <w:sz w:val="24"/>
        </w:rPr>
        <w:t> </w:t>
      </w:r>
      <w:r>
        <w:rPr>
          <w:rFonts w:ascii="Times New Roman" w:hAnsi="Times New Roman"/>
          <w:b w:val="false"/>
          <w:i w:val="false"/>
          <w:color w:val="000000"/>
          <w:sz w:val="24"/>
        </w:rPr>
        <w:t>Each incarcerated individual will receive a copy of the restitution plan of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20.11(7)</w:t>
      </w:r>
      <w:r>
        <w:rPr>
          <w:rFonts w:ascii="Times New Roman" w:hAnsi="Times New Roman"/>
          <w:b w:val="false"/>
          <w:i w:val="false"/>
          <w:color w:val="000000"/>
          <w:sz w:val="24"/>
        </w:rPr>
        <w:t> </w:t>
      </w:r>
      <w:r>
        <w:rPr>
          <w:rFonts w:ascii="Times New Roman" w:hAnsi="Times New Roman"/>
          <w:b w:val="false"/>
          <w:i w:val="false"/>
          <w:color w:val="000000"/>
          <w:sz w:val="24"/>
        </w:rPr>
        <w:t>Restitution payments will be deducted from all credits to an incarcerated individual’s account. Up to 50 percent may be deducted. The following are exempt for deductions from credits to an incarcerated individual’s account from an outside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amount, assessed by the warden or designee, specifically for medical costs. The same percent as established in the restitution plan will be deducted from any amount over the total amount assessed. If the medical procedures are not performed or carried out, the money will be returned to the sender at the incarcerated individual’s expense.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amount, assessed by the warden or designee, specifically for the cost of a funeral trip. The same percent as established in the restitution plan will be deducted from any amount over the total amount assessed.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amount as assessed by the appropriate authority specifically for transportation fees as a result of work release/OWI violations or compact transfers. The same percent as established in the restitution plan will be deducted from any amount over the total amount assessed.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Refunds from outside vendors or institution commissaries.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Property tort claims.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Any other exception approved by the warden or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20.11(8)</w:t>
      </w:r>
      <w:r>
        <w:rPr>
          <w:rFonts w:ascii="Times New Roman" w:hAnsi="Times New Roman"/>
          <w:b w:val="false"/>
          <w:i w:val="false"/>
          <w:color w:val="000000"/>
          <w:sz w:val="24"/>
        </w:rPr>
        <w:t> </w:t>
      </w:r>
      <w:r>
        <w:rPr>
          <w:rFonts w:ascii="Times New Roman" w:hAnsi="Times New Roman"/>
          <w:b w:val="false"/>
          <w:i w:val="false"/>
          <w:color w:val="000000"/>
          <w:sz w:val="24"/>
        </w:rPr>
        <w:t>Restitution deductions will be forwarded to the clerk of court in the county of commitment on a quarterly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20.11(9)</w:t>
      </w:r>
      <w:r>
        <w:rPr>
          <w:rFonts w:ascii="Times New Roman" w:hAnsi="Times New Roman"/>
          <w:b w:val="false"/>
          <w:i w:val="false"/>
          <w:color w:val="000000"/>
          <w:sz w:val="24"/>
        </w:rPr>
        <w:t> </w:t>
      </w:r>
      <w:r>
        <w:rPr>
          <w:rFonts w:ascii="Times New Roman" w:hAnsi="Times New Roman"/>
          <w:b w:val="false"/>
          <w:i w:val="false"/>
          <w:color w:val="000000"/>
          <w:sz w:val="24"/>
        </w:rPr>
        <w:t>When the department has knowledge of other income or assets, the district court clerk of the sentencing county will be notified.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20.11(10)</w:t>
      </w:r>
      <w:r>
        <w:rPr>
          <w:rFonts w:ascii="Times New Roman" w:hAnsi="Times New Roman"/>
          <w:b w:val="false"/>
          <w:i w:val="false"/>
          <w:color w:val="000000"/>
          <w:sz w:val="24"/>
        </w:rPr>
        <w:t> </w:t>
      </w:r>
      <w:r>
        <w:rPr>
          <w:rFonts w:ascii="Times New Roman" w:hAnsi="Times New Roman"/>
          <w:b w:val="false"/>
          <w:i w:val="false"/>
          <w:color w:val="000000"/>
          <w:sz w:val="24"/>
        </w:rPr>
        <w:t>A percent greater than that established in the restitution plan of payment may be deducted from a credit to an incarcerated individual’s account by authorization of either the incarcerated individual or the warden or designee or by court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20.11(11)</w:t>
      </w:r>
      <w:r>
        <w:rPr>
          <w:rFonts w:ascii="Times New Roman" w:hAnsi="Times New Roman"/>
          <w:b w:val="false"/>
          <w:i w:val="false"/>
          <w:color w:val="000000"/>
          <w:sz w:val="24"/>
        </w:rPr>
        <w:t> </w:t>
      </w:r>
      <w:r>
        <w:rPr>
          <w:rFonts w:ascii="Times New Roman" w:hAnsi="Times New Roman"/>
          <w:b w:val="false"/>
          <w:i w:val="false"/>
          <w:color w:val="000000"/>
          <w:sz w:val="24"/>
        </w:rPr>
        <w:t>The restitution plan of payment may be modified through each level of commitment. (This includes preinstitutional services and postinstitutional services.)</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26">
        <w:r>
          <w:rPr>
            <w:rStyle w:val="Hyperlink"/>
            <w:rFonts w:ascii="Times New Roman" w:hAnsi="Times New Roman"/>
            <w:b w:val="false"/>
            <w:i w:val="false"/>
            <w:color w:val="000000"/>
            <w:sz w:val="24"/>
          </w:rPr>
          <w:t>904</w:t>
        </w:r>
      </w:hyperlink>
      <w:r>
        <w:rPr>
          <w:rFonts w:ascii="Times New Roman" w:hAnsi="Times New Roman"/>
          <w:b w:val="false"/>
          <w:i w:val="false"/>
          <w:color w:val="000000"/>
          <w:sz w:val="24"/>
        </w:rPr>
        <w:t xml:space="preserve"> and sections </w:t>
      </w:r>
      <w:hyperlink r:id="rId27">
        <w:r>
          <w:rPr>
            <w:rStyle w:val="Hyperlink"/>
            <w:rFonts w:ascii="Times New Roman" w:hAnsi="Times New Roman"/>
            <w:b w:val="false"/>
            <w:i w:val="false"/>
            <w:color w:val="000000"/>
            <w:sz w:val="24"/>
          </w:rPr>
          <w:t>910.2</w:t>
        </w:r>
      </w:hyperlink>
      <w:r>
        <w:rPr>
          <w:rFonts w:ascii="Times New Roman" w:hAnsi="Times New Roman"/>
          <w:b w:val="false"/>
          <w:i w:val="false"/>
          <w:color w:val="000000"/>
          <w:sz w:val="24"/>
        </w:rPr>
        <w:t xml:space="preserve">, </w:t>
      </w:r>
      <w:hyperlink r:id="rId28">
        <w:r>
          <w:rPr>
            <w:rStyle w:val="Hyperlink"/>
            <w:rFonts w:ascii="Times New Roman" w:hAnsi="Times New Roman"/>
            <w:b w:val="false"/>
            <w:i w:val="false"/>
            <w:color w:val="000000"/>
            <w:sz w:val="24"/>
          </w:rPr>
          <w:t>910.3</w:t>
        </w:r>
      </w:hyperlink>
      <w:r>
        <w:rPr>
          <w:rFonts w:ascii="Times New Roman" w:hAnsi="Times New Roman"/>
          <w:b w:val="false"/>
          <w:i w:val="false"/>
          <w:color w:val="000000"/>
          <w:sz w:val="24"/>
        </w:rPr>
        <w:t xml:space="preserve"> and </w:t>
      </w:r>
      <w:hyperlink r:id="rId29">
        <w:r>
          <w:rPr>
            <w:rStyle w:val="Hyperlink"/>
            <w:rFonts w:ascii="Times New Roman" w:hAnsi="Times New Roman"/>
            <w:b w:val="false"/>
            <w:i w:val="false"/>
            <w:color w:val="000000"/>
            <w:sz w:val="24"/>
          </w:rPr>
          <w:t>910.5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201—20.12</w:t>
      </w:r>
      <w:r>
        <w:rPr>
          <w:rFonts w:ascii="Times New Roman" w:hAnsi="Times New Roman"/>
          <w:b/>
          <w:i w:val="false"/>
          <w:color w:val="000000"/>
          <w:sz w:val="24"/>
        </w:rPr>
        <w:t xml:space="preserve">(904) </w:t>
      </w:r>
      <w:r>
        <w:rPr>
          <w:rFonts w:ascii="Times New Roman" w:hAnsi="Times New Roman"/>
          <w:b/>
          <w:i w:val="false"/>
          <w:color w:val="000000"/>
          <w:sz w:val="24"/>
        </w:rPr>
        <w:t xml:space="preserve">Furloughs.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20.12(1)</w:t>
      </w:r>
      <w:r>
        <w:rPr>
          <w:rFonts w:ascii="Times New Roman" w:hAnsi="Times New Roman"/>
          <w:b w:val="false"/>
          <w:i w:val="false"/>
          <w:color w:val="000000"/>
          <w:sz w:val="24"/>
        </w:rPr>
        <w:t> </w:t>
      </w:r>
      <w:r>
        <w:rPr>
          <w:rFonts w:ascii="Times New Roman" w:hAnsi="Times New Roman"/>
          <w:b w:val="false"/>
          <w:i w:val="false"/>
          <w:color w:val="000000"/>
          <w:sz w:val="24"/>
        </w:rPr>
        <w:t>Furloughs are a privilege, not a right, and may be denied or canceled at any time for reasons deemed sufficient by the warden. Reasons for denial or cancellation will be given to the incarcerated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20.12(2)</w:t>
      </w:r>
      <w:r>
        <w:rPr>
          <w:rFonts w:ascii="Times New Roman" w:hAnsi="Times New Roman"/>
          <w:b w:val="false"/>
          <w:i w:val="false"/>
          <w:color w:val="000000"/>
          <w:sz w:val="24"/>
        </w:rPr>
        <w:t> </w:t>
      </w:r>
      <w:r>
        <w:rPr>
          <w:rFonts w:ascii="Times New Roman" w:hAnsi="Times New Roman"/>
          <w:b w:val="false"/>
          <w:i w:val="false"/>
          <w:color w:val="000000"/>
          <w:sz w:val="24"/>
        </w:rPr>
        <w:t>Emergency family furlough will be considered in the event of a death or imminent death in the immediate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20.12(3)</w:t>
      </w:r>
      <w:r>
        <w:rPr>
          <w:rFonts w:ascii="Times New Roman" w:hAnsi="Times New Roman"/>
          <w:b w:val="false"/>
          <w:i w:val="false"/>
          <w:color w:val="000000"/>
          <w:sz w:val="24"/>
        </w:rPr>
        <w:t> </w:t>
      </w:r>
      <w:r>
        <w:rPr>
          <w:rFonts w:ascii="Times New Roman" w:hAnsi="Times New Roman"/>
          <w:b w:val="false"/>
          <w:i w:val="false"/>
          <w:color w:val="000000"/>
          <w:sz w:val="24"/>
        </w:rPr>
        <w:t>Emergency medical furlough is for those incarcerated individuals whose medical condition has deteriorated to the point of incapacitation or to a comatose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20.12(4)</w:t>
      </w:r>
      <w:r>
        <w:rPr>
          <w:rFonts w:ascii="Times New Roman" w:hAnsi="Times New Roman"/>
          <w:b w:val="false"/>
          <w:i w:val="false"/>
          <w:color w:val="000000"/>
          <w:sz w:val="24"/>
        </w:rPr>
        <w:t> </w:t>
      </w:r>
      <w:r>
        <w:rPr>
          <w:rFonts w:ascii="Times New Roman" w:hAnsi="Times New Roman"/>
          <w:b w:val="false"/>
          <w:i w:val="false"/>
          <w:color w:val="000000"/>
          <w:sz w:val="24"/>
        </w:rPr>
        <w:t>Both emergency family furloughs and emergency medical furloughs will have approval of the warden and the deputy director of institutional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20.12(5)</w:t>
      </w:r>
      <w:r>
        <w:rPr>
          <w:rFonts w:ascii="Times New Roman" w:hAnsi="Times New Roman"/>
          <w:b w:val="false"/>
          <w:i w:val="false"/>
          <w:color w:val="000000"/>
          <w:sz w:val="24"/>
        </w:rPr>
        <w:t> </w:t>
      </w:r>
      <w:r>
        <w:rPr>
          <w:rFonts w:ascii="Times New Roman" w:hAnsi="Times New Roman"/>
          <w:b w:val="false"/>
          <w:i w:val="false"/>
          <w:color w:val="000000"/>
          <w:sz w:val="24"/>
        </w:rPr>
        <w:t>Furloughs are additionally governed by the provisions of the department’s furlough policy IS-RL-04.</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0">
        <w:r>
          <w:rPr>
            <w:rStyle w:val="Hyperlink"/>
            <w:rFonts w:ascii="Times New Roman" w:hAnsi="Times New Roman"/>
            <w:b w:val="false"/>
            <w:i w:val="false"/>
            <w:color w:val="000000"/>
            <w:sz w:val="24"/>
          </w:rPr>
          <w:t>904.108(2)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201—20.13</w:t>
      </w:r>
      <w:r>
        <w:rPr>
          <w:rFonts w:ascii="Times New Roman" w:hAnsi="Times New Roman"/>
          <w:b/>
          <w:i w:val="false"/>
          <w:color w:val="000000"/>
          <w:sz w:val="24"/>
        </w:rPr>
        <w:t xml:space="preserve">(904) </w:t>
      </w:r>
      <w:r>
        <w:rPr>
          <w:rFonts w:ascii="Times New Roman" w:hAnsi="Times New Roman"/>
          <w:b/>
          <w:i w:val="false"/>
          <w:color w:val="000000"/>
          <w:sz w:val="24"/>
        </w:rPr>
        <w:t xml:space="preserve">Board of parole interviews. </w:t>
      </w:r>
      <w:r>
        <w:rPr>
          <w:rFonts w:ascii="Times New Roman" w:hAnsi="Times New Roman"/>
          <w:b w:val="false"/>
          <w:i w:val="false"/>
          <w:color w:val="000000"/>
          <w:sz w:val="24"/>
        </w:rPr>
        <w:t>Each institution provides space for the conduct of interviews between the Iowa board of parole and institutional incarcerated individuals.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20.13(1)</w:t>
      </w:r>
      <w:r>
        <w:rPr>
          <w:rFonts w:ascii="Times New Roman" w:hAnsi="Times New Roman"/>
          <w:b w:val="false"/>
          <w:i w:val="false"/>
          <w:color w:val="000000"/>
          <w:sz w:val="24"/>
        </w:rPr>
        <w:t> </w:t>
      </w:r>
      <w:r>
        <w:rPr>
          <w:rFonts w:ascii="Times New Roman" w:hAnsi="Times New Roman"/>
          <w:b w:val="false"/>
          <w:i w:val="false"/>
          <w:color w:val="000000"/>
          <w:sz w:val="24"/>
        </w:rPr>
        <w:t>All board of parole interviews and case reviews are conducted virtually and closed to in-person attendance.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Members of the public may listen to hearings online; instructions for access are on the board of parole website at </w:t>
      </w:r>
      <w:hyperlink r:id="rId31">
        <w:r>
          <w:rPr>
            <w:rStyle w:val="Hyperlink"/>
            <w:rFonts w:ascii="Times New Roman" w:hAnsi="Times New Roman"/>
            <w:b w:val="false"/>
            <w:i w:val="false"/>
            <w:color w:val="000000"/>
            <w:sz w:val="24"/>
            <w:u w:val="single"/>
          </w:rPr>
          <w:t>bop.iowa.gov</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Registered victims may participate in a hearing online and should coordinate with the board of parole victim liaison prior to the proceeding.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20.13(2)</w:t>
      </w:r>
      <w:r>
        <w:rPr>
          <w:rFonts w:ascii="Times New Roman" w:hAnsi="Times New Roman"/>
          <w:b w:val="false"/>
          <w:i w:val="false"/>
          <w:color w:val="000000"/>
          <w:sz w:val="24"/>
        </w:rPr>
        <w:t> </w:t>
      </w:r>
      <w:r>
        <w:rPr>
          <w:rFonts w:ascii="Times New Roman" w:hAnsi="Times New Roman"/>
          <w:b w:val="false"/>
          <w:i w:val="false"/>
          <w:color w:val="000000"/>
          <w:sz w:val="24"/>
        </w:rPr>
        <w:t>Interviews may be temporarily modified or suspended in the following circumstances: riot, disturbance, fire, labor dispute, space restriction, natural disaster, or other extreme emergency.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20.13(3)</w:t>
      </w:r>
      <w:r>
        <w:rPr>
          <w:rFonts w:ascii="Times New Roman" w:hAnsi="Times New Roman"/>
          <w:b w:val="false"/>
          <w:i w:val="false"/>
          <w:color w:val="000000"/>
          <w:sz w:val="24"/>
        </w:rPr>
        <w:t> </w:t>
      </w:r>
      <w:r>
        <w:rPr>
          <w:rFonts w:ascii="Times New Roman" w:hAnsi="Times New Roman"/>
          <w:b w:val="false"/>
          <w:i w:val="false"/>
          <w:color w:val="000000"/>
          <w:sz w:val="24"/>
        </w:rPr>
        <w:t>Rules governing conduct at the hearings as required by the board of parole are contained in the board’s administrative rules under agency number [205].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20.13(4)</w:t>
      </w:r>
      <w:r>
        <w:rPr>
          <w:rFonts w:ascii="Times New Roman" w:hAnsi="Times New Roman"/>
          <w:b w:val="false"/>
          <w:i w:val="false"/>
          <w:color w:val="000000"/>
          <w:sz w:val="24"/>
        </w:rPr>
        <w:t> </w:t>
      </w:r>
      <w:r>
        <w:rPr>
          <w:rFonts w:ascii="Times New Roman" w:hAnsi="Times New Roman"/>
          <w:b w:val="false"/>
          <w:i w:val="false"/>
          <w:color w:val="000000"/>
          <w:sz w:val="24"/>
        </w:rPr>
        <w:t xml:space="preserve">Provisions that apply to registered victims are found in subrule </w:t>
      </w:r>
      <w:hyperlink r:id="rId32">
        <w:r>
          <w:rPr>
            <w:rStyle w:val="Hyperlink"/>
            <w:rFonts w:ascii="Times New Roman" w:hAnsi="Times New Roman"/>
            <w:b w:val="false"/>
            <w:i w:val="false"/>
            <w:color w:val="000000"/>
            <w:sz w:val="24"/>
          </w:rPr>
          <w:t>20.15(7)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3">
        <w:r>
          <w:rPr>
            <w:rStyle w:val="Hyperlink"/>
            <w:rFonts w:ascii="Times New Roman" w:hAnsi="Times New Roman"/>
            <w:b w:val="false"/>
            <w:i w:val="false"/>
            <w:color w:val="000000"/>
            <w:sz w:val="24"/>
          </w:rPr>
          <w:t>904.102</w:t>
        </w:r>
      </w:hyperlink>
      <w:r>
        <w:rPr>
          <w:rFonts w:ascii="Times New Roman" w:hAnsi="Times New Roman"/>
          <w:b w:val="false"/>
          <w:i w:val="false"/>
          <w:color w:val="000000"/>
          <w:sz w:val="24"/>
        </w:rPr>
        <w:t xml:space="preserve"> and </w:t>
      </w:r>
      <w:hyperlink r:id="rId34">
        <w:r>
          <w:rPr>
            <w:rStyle w:val="Hyperlink"/>
            <w:rFonts w:ascii="Times New Roman" w:hAnsi="Times New Roman"/>
            <w:b w:val="false"/>
            <w:i w:val="false"/>
            <w:color w:val="000000"/>
            <w:sz w:val="24"/>
          </w:rPr>
          <w:t>904.103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201—20.14</w:t>
      </w:r>
      <w:r>
        <w:rPr>
          <w:rFonts w:ascii="Times New Roman" w:hAnsi="Times New Roman"/>
          <w:b/>
          <w:i w:val="false"/>
          <w:color w:val="000000"/>
          <w:sz w:val="24"/>
        </w:rPr>
        <w:t xml:space="preserve">(80A) </w:t>
      </w:r>
      <w:r>
        <w:rPr>
          <w:rFonts w:ascii="Times New Roman" w:hAnsi="Times New Roman"/>
          <w:b/>
          <w:i w:val="false"/>
          <w:color w:val="000000"/>
          <w:sz w:val="24"/>
        </w:rPr>
        <w:t xml:space="preserve">Transportation for incarcerated individuals.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20.14(1)</w:t>
      </w:r>
      <w:r>
        <w:rPr>
          <w:rFonts w:ascii="Times New Roman" w:hAnsi="Times New Roman"/>
          <w:b w:val="false"/>
          <w:i w:val="false"/>
          <w:color w:val="000000"/>
          <w:sz w:val="24"/>
        </w:rPr>
        <w:t> </w:t>
      </w:r>
      <w:r>
        <w:rPr>
          <w:rFonts w:ascii="Times New Roman" w:hAnsi="Times New Roman"/>
          <w:b w:val="false"/>
          <w:i w:val="false"/>
          <w:color w:val="000000"/>
          <w:sz w:val="24"/>
        </w:rPr>
        <w:t xml:space="preserve">Companies under contract to county or state agencies to transport Iowa incarcerated individuals must meet the requirements of this rule to qualify for exemption under Iowa Code section </w:t>
      </w:r>
      <w:hyperlink r:id="rId35">
        <w:r>
          <w:rPr>
            <w:rStyle w:val="Hyperlink"/>
            <w:rFonts w:ascii="Times New Roman" w:hAnsi="Times New Roman"/>
            <w:b w:val="false"/>
            <w:i w:val="false"/>
            <w:color w:val="000000"/>
            <w:sz w:val="24"/>
          </w:rPr>
          <w:t>80A.2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20.14(2)</w:t>
      </w:r>
      <w:r>
        <w:rPr>
          <w:rFonts w:ascii="Times New Roman" w:hAnsi="Times New Roman"/>
          <w:b w:val="false"/>
          <w:i w:val="false"/>
          <w:color w:val="000000"/>
          <w:sz w:val="24"/>
        </w:rPr>
        <w:t> </w:t>
      </w:r>
      <w:r>
        <w:rPr>
          <w:rFonts w:ascii="Times New Roman" w:hAnsi="Times New Roman"/>
          <w:b w:val="false"/>
          <w:i w:val="false"/>
          <w:color w:val="000000"/>
          <w:sz w:val="24"/>
        </w:rPr>
        <w:t xml:space="preserve">To comply with the exemption in Iowa Code section </w:t>
      </w:r>
      <w:hyperlink r:id="rId36">
        <w:r>
          <w:rPr>
            <w:rStyle w:val="Hyperlink"/>
            <w:rFonts w:ascii="Times New Roman" w:hAnsi="Times New Roman"/>
            <w:b w:val="false"/>
            <w:i w:val="false"/>
            <w:color w:val="000000"/>
            <w:sz w:val="24"/>
          </w:rPr>
          <w:t>80A.2</w:t>
        </w:r>
      </w:hyperlink>
      <w:r>
        <w:rPr>
          <w:rFonts w:ascii="Times New Roman" w:hAnsi="Times New Roman"/>
          <w:b w:val="false"/>
          <w:i w:val="false"/>
          <w:color w:val="000000"/>
          <w:sz w:val="24"/>
        </w:rPr>
        <w:t>, the following requirements shall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Companies contracting with any jurisdiction/agency within the state of Iowa will provide, upon request, training and compliance with policy standards governing weapons, security, transportation, and management procedures for incarcerated individuals essential to accomplishing safe and secure movement of incarcerated individuals.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Companies contracting to provide transportation for incarcerated individuals with a jurisdiction/agency within the state of Iowa will provide proof of insurance coverage including but not limited to comprehensive general liability, automobile liability, workers’ compensation insurance, all inclusive policies, general liability, and errors or omissions.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Companies contracting with any jurisdiction/agency within the state of Iowa will provide the names, dates of birth, and social security numbers of all transportation personnel for criminal history checks.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All transporting personnel will possess appropriate and valid driver’s licenses as required by the regulatory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All transporting vehicles will be licensed under the appropriate Interstate Commerce Commission (ICC) regulations and the state where the vehicle is registered.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All transmitting/receiving radios and communication equipment will comply with Federal Communications Commission (FCC)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This exemption applies only to transportation companies for incarcerated individuals. This exemption does not provide exemption for any other part of this statute.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7">
        <w:r>
          <w:rPr>
            <w:rStyle w:val="Hyperlink"/>
            <w:rFonts w:ascii="Times New Roman" w:hAnsi="Times New Roman"/>
            <w:b w:val="false"/>
            <w:i w:val="false"/>
            <w:color w:val="000000"/>
            <w:sz w:val="24"/>
          </w:rPr>
          <w:t>80A.2</w:t>
        </w:r>
      </w:hyperlink>
      <w:r>
        <w:rPr>
          <w:rFonts w:ascii="Times New Roman" w:hAnsi="Times New Roman"/>
          <w:b w:val="false"/>
          <w:i w:val="false"/>
          <w:color w:val="000000"/>
          <w:sz w:val="24"/>
        </w:rPr>
        <w:t xml:space="preserve"> and </w:t>
      </w:r>
      <w:hyperlink r:id="rId38">
        <w:r>
          <w:rPr>
            <w:rStyle w:val="Hyperlink"/>
            <w:rFonts w:ascii="Times New Roman" w:hAnsi="Times New Roman"/>
            <w:b w:val="false"/>
            <w:i w:val="false"/>
            <w:color w:val="000000"/>
            <w:sz w:val="24"/>
          </w:rPr>
          <w:t>904.320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201—20.15</w:t>
      </w:r>
      <w:r>
        <w:rPr>
          <w:rFonts w:ascii="Times New Roman" w:hAnsi="Times New Roman"/>
          <w:b/>
          <w:i w:val="false"/>
          <w:color w:val="000000"/>
          <w:sz w:val="24"/>
        </w:rPr>
        <w:t xml:space="preserve">(915) </w:t>
      </w:r>
      <w:r>
        <w:rPr>
          <w:rFonts w:ascii="Times New Roman" w:hAnsi="Times New Roman"/>
          <w:b/>
          <w:i w:val="false"/>
          <w:color w:val="000000"/>
          <w:sz w:val="24"/>
        </w:rPr>
        <w:t xml:space="preserve">Victim notification.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20.15(1)</w:t>
      </w:r>
      <w:r>
        <w:rPr>
          <w:rFonts w:ascii="Times New Roman" w:hAnsi="Times New Roman"/>
          <w:b w:val="false"/>
          <w:i w:val="false"/>
          <w:color w:val="000000"/>
          <w:sz w:val="24"/>
        </w:rPr>
        <w:t> </w:t>
      </w:r>
      <w:r>
        <w:rPr>
          <w:rFonts w:ascii="Times New Roman" w:hAnsi="Times New Roman"/>
          <w:b w:val="false"/>
          <w:i w:val="false"/>
          <w:color w:val="000000"/>
          <w:sz w:val="24"/>
        </w:rPr>
        <w:t>Definitions.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“Notification”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39">
        <w:r>
          <w:rPr>
            <w:rStyle w:val="Hyperlink"/>
            <w:rFonts w:ascii="Times New Roman" w:hAnsi="Times New Roman"/>
            <w:b w:val="false"/>
            <w:i w:val="false"/>
            <w:color w:val="000000"/>
            <w:sz w:val="24"/>
          </w:rPr>
          <w:t>915.10(1)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“Registered”</w:t>
      </w:r>
      <w:r>
        <w:rPr>
          <w:rFonts w:ascii="Times New Roman" w:hAnsi="Times New Roman"/>
          <w:b w:val="false"/>
          <w:i/>
          <w:color w:val="000000"/>
          <w:sz w:val="24"/>
          <w:u w:val="single"/>
        </w:rPr>
        <w:t> </w:t>
      </w:r>
      <w:r>
        <w:rPr>
          <w:rFonts w:ascii="Times New Roman" w:hAnsi="Times New Roman"/>
          <w:b w:val="false"/>
          <w:i w:val="false"/>
          <w:color w:val="000000"/>
          <w:sz w:val="24"/>
        </w:rPr>
        <w:t>means having provided the appropriate office, agency, or department with the victim’s written request for notification and current mailing address and telephone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“Victim”</w:t>
      </w:r>
      <w:r>
        <w:rPr>
          <w:rFonts w:ascii="Times New Roman" w:hAnsi="Times New Roman"/>
          <w:b w:val="false"/>
          <w:i/>
          <w:color w:val="000000"/>
          <w:sz w:val="24"/>
          <w:u w:val="single"/>
        </w:rPr>
        <w:t> </w:t>
      </w:r>
      <w:r>
        <w:rPr>
          <w:rFonts w:ascii="Times New Roman" w:hAnsi="Times New Roman"/>
          <w:b w:val="false"/>
          <w:i w:val="false"/>
          <w:color w:val="000000"/>
          <w:sz w:val="24"/>
        </w:rPr>
        <w:t>means a person who has suffered physical, emotional, or financial harm as the result of a public offense, other than a simple misdemeanor, committed in this state. The term also includes the immediate family members of a victim who died or was rendered incompetent as a result of the offense or who was under 18 years of age at the time of the offense.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“Violent crime”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40">
        <w:r>
          <w:rPr>
            <w:rStyle w:val="Hyperlink"/>
            <w:rFonts w:ascii="Times New Roman" w:hAnsi="Times New Roman"/>
            <w:b w:val="false"/>
            <w:i w:val="false"/>
            <w:color w:val="000000"/>
            <w:sz w:val="24"/>
          </w:rPr>
          <w:t>915.10(5)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20.15(2)</w:t>
      </w:r>
      <w:r>
        <w:rPr>
          <w:rFonts w:ascii="Times New Roman" w:hAnsi="Times New Roman"/>
          <w:b w:val="false"/>
          <w:i w:val="false"/>
          <w:color w:val="000000"/>
          <w:sz w:val="24"/>
        </w:rPr>
        <w:t> </w:t>
      </w:r>
      <w:r>
        <w:rPr>
          <w:rFonts w:ascii="Times New Roman" w:hAnsi="Times New Roman"/>
          <w:b w:val="false"/>
          <w:i w:val="false"/>
          <w:color w:val="000000"/>
          <w:sz w:val="24"/>
        </w:rPr>
        <w:t xml:space="preserve">Victims may become registered with the department, which entitles the victim to be notified of changes in an incarcerated individual’s status as outlined in Iowa Code sections </w:t>
      </w:r>
      <w:hyperlink r:id="rId41">
        <w:r>
          <w:rPr>
            <w:rStyle w:val="Hyperlink"/>
            <w:rFonts w:ascii="Times New Roman" w:hAnsi="Times New Roman"/>
            <w:b w:val="false"/>
            <w:i w:val="false"/>
            <w:color w:val="000000"/>
            <w:sz w:val="24"/>
          </w:rPr>
          <w:t>915.17</w:t>
        </w:r>
      </w:hyperlink>
      <w:r>
        <w:rPr>
          <w:rFonts w:ascii="Times New Roman" w:hAnsi="Times New Roman"/>
          <w:b w:val="false"/>
          <w:i w:val="false"/>
          <w:color w:val="000000"/>
          <w:sz w:val="24"/>
        </w:rPr>
        <w:t xml:space="preserve"> and </w:t>
      </w:r>
      <w:hyperlink r:id="rId42">
        <w:r>
          <w:rPr>
            <w:rStyle w:val="Hyperlink"/>
            <w:rFonts w:ascii="Times New Roman" w:hAnsi="Times New Roman"/>
            <w:b w:val="false"/>
            <w:i w:val="false"/>
            <w:color w:val="000000"/>
            <w:sz w:val="24"/>
          </w:rPr>
          <w:t>915.17A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20.15(3)</w:t>
      </w:r>
      <w:r>
        <w:rPr>
          <w:rFonts w:ascii="Times New Roman" w:hAnsi="Times New Roman"/>
          <w:b w:val="false"/>
          <w:i w:val="false"/>
          <w:color w:val="000000"/>
          <w:sz w:val="24"/>
        </w:rPr>
        <w:t> </w:t>
      </w:r>
      <w:r>
        <w:rPr>
          <w:rFonts w:ascii="Times New Roman" w:hAnsi="Times New Roman"/>
          <w:b w:val="false"/>
          <w:i w:val="false"/>
          <w:color w:val="000000"/>
          <w:sz w:val="24"/>
        </w:rPr>
        <w:t>A victim will become registered upon official request by the county attorney to the director of the department or the director’s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20.15(4)</w:t>
      </w:r>
      <w:r>
        <w:rPr>
          <w:rFonts w:ascii="Times New Roman" w:hAnsi="Times New Roman"/>
          <w:b w:val="false"/>
          <w:i w:val="false"/>
          <w:color w:val="000000"/>
          <w:sz w:val="24"/>
        </w:rPr>
        <w:t> </w:t>
      </w:r>
      <w:r>
        <w:rPr>
          <w:rFonts w:ascii="Times New Roman" w:hAnsi="Times New Roman"/>
          <w:b w:val="false"/>
          <w:i w:val="false"/>
          <w:color w:val="000000"/>
          <w:sz w:val="24"/>
        </w:rPr>
        <w:t>Assistance for registering may be obtained through the county attorney or by contacting the department’s office of victim programs at 800.778.1182.</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20.15(5)</w:t>
      </w:r>
      <w:r>
        <w:rPr>
          <w:rFonts w:ascii="Times New Roman" w:hAnsi="Times New Roman"/>
          <w:b w:val="false"/>
          <w:i w:val="false"/>
          <w:color w:val="000000"/>
          <w:sz w:val="24"/>
        </w:rPr>
        <w:t> </w:t>
      </w:r>
      <w:r>
        <w:rPr>
          <w:rFonts w:ascii="Times New Roman" w:hAnsi="Times New Roman"/>
          <w:b w:val="false"/>
          <w:i w:val="false"/>
          <w:color w:val="000000"/>
          <w:sz w:val="24"/>
        </w:rPr>
        <w:t>All information with regard to a registered victim will be kept confidential.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20.15(6)</w:t>
      </w:r>
      <w:r>
        <w:rPr>
          <w:rFonts w:ascii="Times New Roman" w:hAnsi="Times New Roman"/>
          <w:b w:val="false"/>
          <w:i w:val="false"/>
          <w:color w:val="000000"/>
          <w:sz w:val="24"/>
        </w:rPr>
        <w:t> </w:t>
      </w:r>
      <w:r>
        <w:rPr>
          <w:rFonts w:ascii="Times New Roman" w:hAnsi="Times New Roman"/>
          <w:b w:val="false"/>
          <w:i w:val="false"/>
          <w:color w:val="000000"/>
          <w:sz w:val="24"/>
        </w:rPr>
        <w:t>A registered victim is responsible for notifying the department of address or telephone changes.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20.15(7)</w:t>
      </w:r>
      <w:r>
        <w:rPr>
          <w:rFonts w:ascii="Times New Roman" w:hAnsi="Times New Roman"/>
          <w:b w:val="false"/>
          <w:i w:val="false"/>
          <w:color w:val="000000"/>
          <w:sz w:val="24"/>
        </w:rPr>
        <w:t> </w:t>
      </w:r>
      <w:r>
        <w:rPr>
          <w:rFonts w:ascii="Times New Roman" w:hAnsi="Times New Roman"/>
          <w:b w:val="false"/>
          <w:i w:val="false"/>
          <w:color w:val="000000"/>
          <w:sz w:val="24"/>
        </w:rPr>
        <w:t xml:space="preserve">Registered victims of the board of parole may attend hearings in accordance with procedures established by the board of parole pursuant to Iowa Code section </w:t>
      </w:r>
      <w:hyperlink r:id="rId43">
        <w:r>
          <w:rPr>
            <w:rStyle w:val="Hyperlink"/>
            <w:rFonts w:ascii="Times New Roman" w:hAnsi="Times New Roman"/>
            <w:b w:val="false"/>
            <w:i w:val="false"/>
            <w:color w:val="000000"/>
            <w:sz w:val="24"/>
          </w:rPr>
          <w:t>915.18</w:t>
        </w:r>
      </w:hyperlink>
      <w:r>
        <w:rPr>
          <w:rFonts w:ascii="Times New Roman" w:hAnsi="Times New Roman"/>
          <w:b w:val="false"/>
          <w:i w:val="false"/>
          <w:color w:val="000000"/>
          <w:sz w:val="24"/>
        </w:rPr>
        <w:t xml:space="preserve">. Information on this process may be accessed on the board of parole website at </w:t>
      </w:r>
      <w:hyperlink r:id="rId44">
        <w:r>
          <w:rPr>
            <w:rStyle w:val="Hyperlink"/>
            <w:rFonts w:ascii="Times New Roman" w:hAnsi="Times New Roman"/>
            <w:b w:val="false"/>
            <w:i w:val="false"/>
            <w:color w:val="000000"/>
            <w:sz w:val="24"/>
            <w:u w:val="single"/>
          </w:rPr>
          <w:t>bop.iowa.gov</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45">
        <w:r>
          <w:rPr>
            <w:rStyle w:val="Hyperlink"/>
            <w:rFonts w:ascii="Times New Roman" w:hAnsi="Times New Roman"/>
            <w:b w:val="false"/>
            <w:i w:val="false"/>
            <w:color w:val="000000"/>
            <w:sz w:val="24"/>
          </w:rPr>
          <w:t>915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201—20.16</w:t>
      </w:r>
      <w:r>
        <w:rPr>
          <w:rFonts w:ascii="Times New Roman" w:hAnsi="Times New Roman"/>
          <w:b/>
          <w:i w:val="false"/>
          <w:color w:val="000000"/>
          <w:sz w:val="24"/>
        </w:rPr>
        <w:t xml:space="preserve">(904) </w:t>
      </w:r>
      <w:r>
        <w:rPr>
          <w:rFonts w:ascii="Times New Roman" w:hAnsi="Times New Roman"/>
          <w:b/>
          <w:i w:val="false"/>
          <w:color w:val="000000"/>
          <w:sz w:val="24"/>
        </w:rPr>
        <w:t xml:space="preserve">Institutional community placement.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20.16(1)</w:t>
      </w:r>
      <w:r>
        <w:rPr>
          <w:rFonts w:ascii="Times New Roman" w:hAnsi="Times New Roman"/>
          <w:b w:val="false"/>
          <w:i w:val="false"/>
          <w:color w:val="000000"/>
          <w:sz w:val="24"/>
        </w:rPr>
        <w:t> </w:t>
      </w:r>
      <w:r>
        <w:rPr>
          <w:rFonts w:ascii="Times New Roman" w:hAnsi="Times New Roman"/>
          <w:b w:val="false"/>
          <w:i/>
          <w:color w:val="000000"/>
          <w:sz w:val="24"/>
        </w:rPr>
        <w:t xml:space="preserve">Home care program. </w:t>
      </w:r>
      <w:r>
        <w:rPr>
          <w:rFonts w:ascii="Times New Roman" w:hAnsi="Times New Roman"/>
          <w:b w:val="false"/>
          <w:i w:val="false"/>
          <w:color w:val="000000"/>
          <w:sz w:val="24"/>
        </w:rPr>
        <w:t>This program allows for selected incarcerated individuals to be released from institutional confinement for a set period of time for the purpose of caring for the incarcerated individual’s immediate family. Release may be to a community correction residential facility/halfway house or to the incarcerated individual’s home, the home of an immediate family member, or other approved arrangements, provided the living environment is suitable to institutional requirements. Release may be for a set number of hours or days as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Eligibility criteria.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incarcerated individual must be the natural parent or legal guardian of the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incarcerated individual must show cause that this program can provide more suitable care than the present living situation of the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child(ren) must be minor(s).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incarcerated individual must have been the primary caretaker of the child(ren) prior to incarceration.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Investigating staff must be able to confirm that the incarcerated individual had satisfactorily served this care prior to incarceration.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proposed living arrangements shall provide a suitable environment for the incarcerated individual and dependents.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physical structure of the residence shall provide for adequate space; meet sanitary, health and safety requirements; and be in good repair. A functional telephone must be maintained in the residence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It will be verified that the incarcerated individual, including a spouse or immediate family member living at the same residence, can and will provide adequate support toward the child, children, or other dependent. Eligibility requirements for assistance through the department of health and human services programs (FIP, food stamps, etc.) will be verified prior to final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It will be verified that the incarcerated individual or immediate family living at the residence can provide adequate transportation or that public transportation is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Adequate support services (medical, psychological, educational, as well as other treatment programs) must be arranged and available to both the incarcerated individual and dependents.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Dependent care for an adult member of the incarcerated individual’s immediate family must include a medically documented need with periodic supervision or other approved arrangements by a health-trained professional.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Education/employment/child care/adult dependent care. Where all dependents are involved in full-time school, participation in an educational or employment program may be required of the incarcerated individual. Where such dependents are not yet in school, child care may be considered as full-time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Child care/adult dependent care. Child care shall be provided in the home. Therefore, the residence will be considered as the designated place of assignment. Deviations from the same shall be reported to staff in advance.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20.16(2)</w:t>
      </w:r>
      <w:r>
        <w:rPr>
          <w:rFonts w:ascii="Times New Roman" w:hAnsi="Times New Roman"/>
          <w:b w:val="false"/>
          <w:i w:val="false"/>
          <w:color w:val="000000"/>
          <w:sz w:val="24"/>
        </w:rPr>
        <w:t> </w:t>
      </w:r>
      <w:r>
        <w:rPr>
          <w:rFonts w:ascii="Times New Roman" w:hAnsi="Times New Roman"/>
          <w:b w:val="false"/>
          <w:i/>
          <w:color w:val="000000"/>
          <w:sz w:val="24"/>
        </w:rPr>
        <w:t xml:space="preserve">Work program—eligibility criteria. </w:t>
      </w:r>
      <w:r>
        <w:rPr>
          <w:rFonts w:ascii="Times New Roman" w:hAnsi="Times New Roman"/>
          <w:b w:val="false"/>
          <w:i w:val="false"/>
          <w:color w:val="000000"/>
          <w:sz w:val="24"/>
        </w:rPr>
        <w:t>This program allows for selected incarcerated individuals to be released from institutional confinement for a period of time for gainful employment in the community. The program may also include placement in a community corrections residential facility/halfway house or to the incarcerated individual’s home, the home of an immediate family member, or other approved arrangements, provided the living environment is suitable to institutional requirements. Release may be for a set number of hours or days as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incarcerated individual must show a substantial need and interest for participation in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incarcerated individual must seek and apply for employment through established procedures of the furlough program or through institutional correspondence, telephone, or visiting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Suitable employment and verification must be obtained by staff prior to consideration.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20.16(3)</w:t>
      </w:r>
      <w:r>
        <w:rPr>
          <w:rFonts w:ascii="Times New Roman" w:hAnsi="Times New Roman"/>
          <w:b w:val="false"/>
          <w:i w:val="false"/>
          <w:color w:val="000000"/>
          <w:sz w:val="24"/>
        </w:rPr>
        <w:t> </w:t>
      </w:r>
      <w:r>
        <w:rPr>
          <w:rFonts w:ascii="Times New Roman" w:hAnsi="Times New Roman"/>
          <w:b w:val="false"/>
          <w:i/>
          <w:color w:val="000000"/>
          <w:sz w:val="24"/>
        </w:rPr>
        <w:t xml:space="preserve">Educational program—eligibility criteria. </w:t>
      </w:r>
      <w:r>
        <w:rPr>
          <w:rFonts w:ascii="Times New Roman" w:hAnsi="Times New Roman"/>
          <w:b w:val="false"/>
          <w:i w:val="false"/>
          <w:color w:val="000000"/>
          <w:sz w:val="24"/>
        </w:rPr>
        <w:t>This program allows for selected incarcerated individuals to be released from institutional confinement for a period of time for educational opportunities in the community. This program may also include placement in a community corrections residential facility/halfway house or to the incarcerated individual’s home, the home of an immediate family member, or other approved arrangements, provided the environment is suitable to institutional requirements. Release may be for a set number of hours or days as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incarcerated individual must show a substantial need and interest for participation in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incarcerated individual must seek educational opportunities and financial support through established procedures of the furlough program or through institutional correspondence, telephone, or visiting procedures (financial arrangements can only include family support or grants). Educational loans or loans of any type will not be allowed while on institutional count. Additional community corrections restriction may apply while under community supervision.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20.16(4)</w:t>
      </w:r>
      <w:r>
        <w:rPr>
          <w:rFonts w:ascii="Times New Roman" w:hAnsi="Times New Roman"/>
          <w:b w:val="false"/>
          <w:i w:val="false"/>
          <w:color w:val="000000"/>
          <w:sz w:val="24"/>
        </w:rPr>
        <w:t> </w:t>
      </w:r>
      <w:r>
        <w:rPr>
          <w:rFonts w:ascii="Times New Roman" w:hAnsi="Times New Roman"/>
          <w:b w:val="false"/>
          <w:i/>
          <w:color w:val="000000"/>
          <w:sz w:val="24"/>
        </w:rPr>
        <w:t xml:space="preserve">General requirements for all three programs.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Participation in any of these programs at any level is a privilege, not a right, of which participating incarcerated individuals are subject to and held accountable for all provisions of this policy as well as the specific program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Institutional progress and recommended program participation must reflect an average or above rating.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Incarcerated individuals must be furlough-eligible in accordance with furlough eligibility standards in department policy IS-RL-04 and rule </w:t>
      </w:r>
      <w:hyperlink r:id="rId46">
        <w:r>
          <w:rPr>
            <w:rStyle w:val="Hyperlink"/>
            <w:rFonts w:ascii="Times New Roman" w:hAnsi="Times New Roman"/>
            <w:b w:val="false"/>
            <w:i w:val="false"/>
            <w:color w:val="000000"/>
            <w:sz w:val="24"/>
          </w:rPr>
          <w:t>201—20.12</w:t>
        </w:r>
      </w:hyperlink>
      <w:r>
        <w:rPr>
          <w:rFonts w:ascii="Times New Roman" w:hAnsi="Times New Roman"/>
          <w:b w:val="false"/>
          <w:i w:val="false"/>
          <w:color w:val="000000"/>
          <w:sz w:val="24"/>
        </w:rPr>
        <w:t>(904).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applicable, community corrections residential/halfway house rules and regulations will apply, as well as institutional rules including all program plan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Local authorities will be contacted to determine possible concerns (correctional services, county attorney, law enforcement).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incarcerated individual may be required to submit to periodic or regular urinalysis testing (this procedure may be completed at any correctional institution, community corrections facility/office, or at the residence).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All activity will be monitored by community corrections staff and institutional staff as agreed.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All employment and educational earnings, less payroll deductions including education grants and expenses, will be surrendered to the residential facility/halfway house staff according to established procedures or to the institution business manager, whichever applies, according to the program plan. Employment earning deductions will be prioritized in accordance with Iowa Code section </w:t>
      </w:r>
      <w:hyperlink r:id="rId47">
        <w:r>
          <w:rPr>
            <w:rStyle w:val="Hyperlink"/>
            <w:rFonts w:ascii="Times New Roman" w:hAnsi="Times New Roman"/>
            <w:b w:val="false"/>
            <w:i w:val="false"/>
            <w:color w:val="000000"/>
            <w:sz w:val="24"/>
          </w:rPr>
          <w:t>904.905</w:t>
        </w:r>
      </w:hyperlink>
      <w:r>
        <w:rPr>
          <w:rFonts w:ascii="Times New Roman" w:hAnsi="Times New Roman"/>
          <w:b w:val="false"/>
          <w:i w:val="false"/>
          <w:color w:val="000000"/>
          <w:sz w:val="24"/>
        </w:rPr>
        <w:t xml:space="preserve"> for all levels of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Contact frequency. A minimum of one home visit and one other face-to-face contact per month is required of staff. Furthermore, a sufficient number of collateral contacts will be made each month to ensure that the incarcerated individual is meeting requirements of the program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Special needs. In situations where incarcerated individuals or the family have special needs, a case planning system will be incorporated to address needs, capabilities, and specific goals. Special attention shall be given to past or immediate problems.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Travel. Supervisory staff may grant permission for travel within the state. Standard policy will apply to out-of-state travel.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Temporary absence. Incarcerated individuals may temporarily leave the residence for necessary purposes such as shopping, religious services, family recreation, medical appointments, and employment as indicated on the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20.16(5)</w:t>
      </w:r>
      <w:r>
        <w:rPr>
          <w:rFonts w:ascii="Times New Roman" w:hAnsi="Times New Roman"/>
          <w:b w:val="false"/>
          <w:i w:val="false"/>
          <w:color w:val="000000"/>
          <w:sz w:val="24"/>
        </w:rPr>
        <w:t> </w:t>
      </w:r>
      <w:r>
        <w:rPr>
          <w:rFonts w:ascii="Times New Roman" w:hAnsi="Times New Roman"/>
          <w:b w:val="false"/>
          <w:i/>
          <w:color w:val="000000"/>
          <w:sz w:val="24"/>
        </w:rPr>
        <w:t xml:space="preserve">Application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Applications must be made to the present institutional classification committee.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application must contain all pertinent information and resources for the requested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classification committee shall review each case considering all standards and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classification committee’s recommendation must be approved by the warden.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If approved by the warden, the recommendation and all pertinent information shall be forwarded to the institutional deputy director for final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If the recommendation is approved by the institutional deputy director, the incarcerated individual must agree to abide by all rules established in the program plan, including institutional rules and community corrections rules as well as all local, state, and federal laws.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Each level of review has the authority to deny the application or to make changes in the program plan, including level of placement (i.e., institutional, residential/halfway house, home) and electronic monitoring devices.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Incarcerated individuals placed in any of these programs will not be relieved of paying restitution or any other financial obligation as required by the court or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20.16(6)</w:t>
      </w:r>
      <w:r>
        <w:rPr>
          <w:rFonts w:ascii="Times New Roman" w:hAnsi="Times New Roman"/>
          <w:b w:val="false"/>
          <w:i w:val="false"/>
          <w:color w:val="000000"/>
          <w:sz w:val="24"/>
        </w:rPr>
        <w:t> </w:t>
      </w:r>
      <w:r>
        <w:rPr>
          <w:rFonts w:ascii="Times New Roman" w:hAnsi="Times New Roman"/>
          <w:b w:val="false"/>
          <w:i/>
          <w:color w:val="000000"/>
          <w:sz w:val="24"/>
        </w:rPr>
        <w:t xml:space="preserve">Violations.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Violation of any rule set forth in the program plan, including any additional rules set forth by any authority listed in this policy, may constitute the revocation of participation in either program at any level.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Revocation may also occur for improper care of children or dependents, inadequate earnings, failure to maintain employment or unacceptable employment conduct, rule violations, or failure to meet program expectations.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20.16(7)</w:t>
      </w:r>
      <w:r>
        <w:rPr>
          <w:rFonts w:ascii="Times New Roman" w:hAnsi="Times New Roman"/>
          <w:b w:val="false"/>
          <w:i w:val="false"/>
          <w:color w:val="000000"/>
          <w:sz w:val="24"/>
        </w:rPr>
        <w:t> </w:t>
      </w:r>
      <w:r>
        <w:rPr>
          <w:rFonts w:ascii="Times New Roman" w:hAnsi="Times New Roman"/>
          <w:b w:val="false"/>
          <w:i/>
          <w:color w:val="000000"/>
          <w:sz w:val="24"/>
        </w:rPr>
        <w:t xml:space="preserve">Program activity. </w:t>
      </w:r>
      <w:r>
        <w:rPr>
          <w:rFonts w:ascii="Times New Roman" w:hAnsi="Times New Roman"/>
          <w:b w:val="false"/>
          <w:i w:val="false"/>
          <w:color w:val="000000"/>
          <w:sz w:val="24"/>
        </w:rPr>
        <w:t>This rule does not create any liberty interest in the incarcerated individual’s continued participation in any of the programs at any level listed under this rule, and the department or its designee(s) reserves the right to revoke, suspend, or limit/restrict program activity from the listed programs for any reason, without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20.16(8)</w:t>
      </w:r>
      <w:r>
        <w:rPr>
          <w:rFonts w:ascii="Times New Roman" w:hAnsi="Times New Roman"/>
          <w:b w:val="false"/>
          <w:i w:val="false"/>
          <w:color w:val="000000"/>
          <w:sz w:val="24"/>
        </w:rPr>
        <w:t> </w:t>
      </w:r>
      <w:r>
        <w:rPr>
          <w:rFonts w:ascii="Times New Roman" w:hAnsi="Times New Roman"/>
          <w:b w:val="false"/>
          <w:i/>
          <w:color w:val="000000"/>
          <w:sz w:val="24"/>
        </w:rPr>
        <w:t xml:space="preserve">Waiver of liberty interests. </w:t>
      </w:r>
      <w:r>
        <w:rPr>
          <w:rFonts w:ascii="Times New Roman" w:hAnsi="Times New Roman"/>
          <w:b w:val="false"/>
          <w:i w:val="false"/>
          <w:color w:val="000000"/>
          <w:sz w:val="24"/>
        </w:rPr>
        <w:t>As a condition for an incarcerated individual to participate in any of the programs at any level listed under this rule, the incarcerated individual must voluntarily waive any and all liberty interests to a hearing should the department exercise its right to revoke, suspend or limit/restrict program activity. This waiver must be signed prior to an incarcerated individual’s acceptance into a program. The signed waiver shall remove any and all rights to due process should the department exercise its right to revoke, suspend or limit/restrict program activity.</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48">
        <w:r>
          <w:rPr>
            <w:rStyle w:val="Hyperlink"/>
            <w:rFonts w:ascii="Times New Roman" w:hAnsi="Times New Roman"/>
            <w:b w:val="false"/>
            <w:i w:val="false"/>
            <w:color w:val="000000"/>
            <w:sz w:val="24"/>
          </w:rPr>
          <w:t>904.910</w:t>
        </w:r>
      </w:hyperlink>
      <w:r>
        <w:rPr>
          <w:rFonts w:ascii="Times New Roman" w:hAnsi="Times New Roman"/>
          <w:b w:val="false"/>
          <w:i w:val="false"/>
          <w:color w:val="000000"/>
          <w:sz w:val="24"/>
        </w:rPr>
        <w:t>.</w:t>
      </w:r>
    </w:p>
    <w:sectPr>
      <w:footerReference r:id="rId49"/>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ikd-tecb-vuh" Type="http://schemas.openxmlformats.org/officeDocument/2006/relationships/hyperlink" Id="rId4"/>
    <Relationship TargetMode="External" Target="mailto:jen.rathje1@iowa.gov" Type="http://schemas.openxmlformats.org/officeDocument/2006/relationships/hyperlink" Id="rId5"/>
    <Relationship TargetMode="External" Target="https://www.legis.iowa.gov/docs/ico/chapter/904.102.pdf" Type="http://schemas.openxmlformats.org/officeDocument/2006/relationships/hyperlink" Id="rId6"/>
    <Relationship TargetMode="External" Target="https://www.legis.iowa.gov/docs/ico/chapter/904.102.pdf" Type="http://schemas.openxmlformats.org/officeDocument/2006/relationships/hyperlink" Id="rId7"/>
    <Relationship TargetMode="External" Target="https://www.legis.iowa.gov/docs/ico/chapter/904.108.pdf" Type="http://schemas.openxmlformats.org/officeDocument/2006/relationships/hyperlink" Id="rId8"/>
    <Relationship TargetMode="External" Target="https://www.legis.iowa.gov/docs/iac/rule/201.20.6.pdf" Type="http://schemas.openxmlformats.org/officeDocument/2006/relationships/hyperlink" Id="rId9"/>
    <Relationship TargetMode="External" Target="https://www.legis.iowa.gov/docs/ico/chapter/904.108.pdf" Type="http://schemas.openxmlformats.org/officeDocument/2006/relationships/hyperlink" Id="rId10"/>
    <Relationship TargetMode="External" Target="http://doc.iowa.gov" Type="http://schemas.openxmlformats.org/officeDocument/2006/relationships/hyperlink" Id="rId11"/>
    <Relationship TargetMode="External" Target="https://www.legis.iowa.gov/docs/ico/chapter/904.512.pdf" Type="http://schemas.openxmlformats.org/officeDocument/2006/relationships/hyperlink" Id="rId12"/>
    <Relationship TargetMode="External" Target="https://www.legis.iowa.gov/docs/ico/chapter/2C.pdf" Type="http://schemas.openxmlformats.org/officeDocument/2006/relationships/hyperlink" Id="rId13"/>
    <Relationship TargetMode="External" Target="http://doc.iowa.gov" Type="http://schemas.openxmlformats.org/officeDocument/2006/relationships/hyperlink" Id="rId14"/>
    <Relationship TargetMode="External" Target="https://www.legis.iowa.gov/docs/ico/chapter/2C.14.pdf" Type="http://schemas.openxmlformats.org/officeDocument/2006/relationships/hyperlink" Id="rId15"/>
    <Relationship TargetMode="External" Target="https://www.legis.iowa.gov/docs/ico/chapter/904.108.pdf" Type="http://schemas.openxmlformats.org/officeDocument/2006/relationships/hyperlink" Id="rId16"/>
    <Relationship TargetMode="External" Target="https://www.legis.iowa.gov/docs/ico/chapter/904.506.pdf" Type="http://schemas.openxmlformats.org/officeDocument/2006/relationships/hyperlink" Id="rId17"/>
    <Relationship TargetMode="External" Target="https://www.legis.iowa.gov/docs/ico/chapter/904.108.pdf" Type="http://schemas.openxmlformats.org/officeDocument/2006/relationships/hyperlink" Id="rId18"/>
    <Relationship TargetMode="External" Target="https://www.legis.iowa.gov/docs/ico/chapter/904.310A.pdf" Type="http://schemas.openxmlformats.org/officeDocument/2006/relationships/hyperlink" Id="rId19"/>
    <Relationship TargetMode="External" Target="https://www.legis.iowa.gov/docs/ico/chapter/904.108.pdf" Type="http://schemas.openxmlformats.org/officeDocument/2006/relationships/hyperlink" Id="rId20"/>
    <Relationship TargetMode="External" Target="https://www.legis.iowa.gov/docs/ico/chapter/904.108.pdf" Type="http://schemas.openxmlformats.org/officeDocument/2006/relationships/hyperlink" Id="rId21"/>
    <Relationship TargetMode="External" Target="https://www.legis.iowa.gov/docs/ico/chapter/904.512.pdf" Type="http://schemas.openxmlformats.org/officeDocument/2006/relationships/hyperlink" Id="rId22"/>
    <Relationship TargetMode="External" Target="https://www.legis.iowa.gov/docs/ico/chapter/904.113.pdf" Type="http://schemas.openxmlformats.org/officeDocument/2006/relationships/hyperlink" Id="rId23"/>
    <Relationship TargetMode="External" Target="https://www.legis.iowa.gov/docs/ico/chapter/904.108.pdf" Type="http://schemas.openxmlformats.org/officeDocument/2006/relationships/hyperlink" Id="rId24"/>
    <Relationship TargetMode="External" Target="https://www.legis.iowa.gov/docs/ico/chapter/904.108.pdf" Type="http://schemas.openxmlformats.org/officeDocument/2006/relationships/hyperlink" Id="rId25"/>
    <Relationship TargetMode="External" Target="https://www.legis.iowa.gov/docs/ico/chapter/904.pdf" Type="http://schemas.openxmlformats.org/officeDocument/2006/relationships/hyperlink" Id="rId26"/>
    <Relationship TargetMode="External" Target="https://www.legis.iowa.gov/docs/ico/chapter/910.2.pdf" Type="http://schemas.openxmlformats.org/officeDocument/2006/relationships/hyperlink" Id="rId27"/>
    <Relationship TargetMode="External" Target="https://www.legis.iowa.gov/docs/ico/chapter/910.3.pdf" Type="http://schemas.openxmlformats.org/officeDocument/2006/relationships/hyperlink" Id="rId28"/>
    <Relationship TargetMode="External" Target="https://www.legis.iowa.gov/docs/ico/chapter/910.5.pdf" Type="http://schemas.openxmlformats.org/officeDocument/2006/relationships/hyperlink" Id="rId29"/>
    <Relationship TargetMode="External" Target="https://www.legis.iowa.gov/docs/ico/chapter/904.108.pdf" Type="http://schemas.openxmlformats.org/officeDocument/2006/relationships/hyperlink" Id="rId30"/>
    <Relationship TargetMode="External" Target="http://bop.iowa.gov" Type="http://schemas.openxmlformats.org/officeDocument/2006/relationships/hyperlink" Id="rId31"/>
    <Relationship TargetMode="External" Target="https://www.legis.iowa.gov/docs/iac/rule/201.20.15.pdf" Type="http://schemas.openxmlformats.org/officeDocument/2006/relationships/hyperlink" Id="rId32"/>
    <Relationship TargetMode="External" Target="https://www.legis.iowa.gov/docs/ico/chapter/904.102.pdf" Type="http://schemas.openxmlformats.org/officeDocument/2006/relationships/hyperlink" Id="rId33"/>
    <Relationship TargetMode="External" Target="https://www.legis.iowa.gov/docs/ico/chapter/904.103.pdf" Type="http://schemas.openxmlformats.org/officeDocument/2006/relationships/hyperlink" Id="rId34"/>
    <Relationship TargetMode="External" Target="https://www.legis.iowa.gov/docs/ico/chapter/80A.2.pdf" Type="http://schemas.openxmlformats.org/officeDocument/2006/relationships/hyperlink" Id="rId35"/>
    <Relationship TargetMode="External" Target="https://www.legis.iowa.gov/docs/ico/chapter/80A.2.pdf" Type="http://schemas.openxmlformats.org/officeDocument/2006/relationships/hyperlink" Id="rId36"/>
    <Relationship TargetMode="External" Target="https://www.legis.iowa.gov/docs/ico/chapter/80A.2.pdf" Type="http://schemas.openxmlformats.org/officeDocument/2006/relationships/hyperlink" Id="rId37"/>
    <Relationship TargetMode="External" Target="https://www.legis.iowa.gov/docs/ico/chapter/904.320.pdf" Type="http://schemas.openxmlformats.org/officeDocument/2006/relationships/hyperlink" Id="rId38"/>
    <Relationship TargetMode="External" Target="https://www.legis.iowa.gov/docs/ico/chapter/915.10.pdf" Type="http://schemas.openxmlformats.org/officeDocument/2006/relationships/hyperlink" Id="rId39"/>
    <Relationship TargetMode="External" Target="https://www.legis.iowa.gov/docs/ico/chapter/915.10.pdf" Type="http://schemas.openxmlformats.org/officeDocument/2006/relationships/hyperlink" Id="rId40"/>
    <Relationship TargetMode="External" Target="https://www.legis.iowa.gov/docs/ico/chapter/915.17.pdf" Type="http://schemas.openxmlformats.org/officeDocument/2006/relationships/hyperlink" Id="rId41"/>
    <Relationship TargetMode="External" Target="https://www.legis.iowa.gov/docs/ico/chapter/915.17A.pdf" Type="http://schemas.openxmlformats.org/officeDocument/2006/relationships/hyperlink" Id="rId42"/>
    <Relationship TargetMode="External" Target="https://www.legis.iowa.gov/docs/ico/chapter/915.18.pdf" Type="http://schemas.openxmlformats.org/officeDocument/2006/relationships/hyperlink" Id="rId43"/>
    <Relationship TargetMode="External" Target="http://bop.iowa.gov" Type="http://schemas.openxmlformats.org/officeDocument/2006/relationships/hyperlink" Id="rId44"/>
    <Relationship TargetMode="External" Target="https://www.legis.iowa.gov/docs/ico/chapter/915.pdf" Type="http://schemas.openxmlformats.org/officeDocument/2006/relationships/hyperlink" Id="rId45"/>
    <Relationship TargetMode="External" Target="https://www.legis.iowa.gov/docs/iac/rule/201.20.12.pdf" Type="http://schemas.openxmlformats.org/officeDocument/2006/relationships/hyperlink" Id="rId46"/>
    <Relationship TargetMode="External" Target="https://www.legis.iowa.gov/docs/ico/chapter/904.905.pdf" Type="http://schemas.openxmlformats.org/officeDocument/2006/relationships/hyperlink" Id="rId47"/>
    <Relationship TargetMode="External" Target="https://www.legis.iowa.gov/docs/ico/chapter/904.910.pdf" Type="http://schemas.openxmlformats.org/officeDocument/2006/relationships/hyperlink" Id="rId48"/>
    <Relationship Target="footer.xml" Type="http://schemas.openxmlformats.org/officeDocument/2006/relationships/footer" Id="rId4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